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6C" w:rsidRDefault="0012444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-506730</wp:posOffset>
            </wp:positionV>
            <wp:extent cx="2468245" cy="583565"/>
            <wp:effectExtent l="0" t="0" r="8255" b="698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83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76C" w:rsidRDefault="00CC176C">
      <w:pPr>
        <w:jc w:val="both"/>
        <w:rPr>
          <w:rFonts w:ascii="Arial" w:hAnsi="Arial" w:cs="Arial"/>
          <w:sz w:val="24"/>
          <w:szCs w:val="24"/>
        </w:rPr>
      </w:pPr>
    </w:p>
    <w:p w:rsidR="00CC176C" w:rsidRDefault="00CC176C">
      <w:pPr>
        <w:jc w:val="center"/>
        <w:rPr>
          <w:rFonts w:ascii="Arial" w:hAnsi="Arial" w:cs="Arial"/>
          <w:sz w:val="24"/>
          <w:szCs w:val="24"/>
        </w:rPr>
      </w:pPr>
    </w:p>
    <w:p w:rsidR="00CC176C" w:rsidRDefault="0012444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Постигнати годишни инвестиционни резултати при управление на </w:t>
      </w:r>
      <w:r>
        <w:rPr>
          <w:rFonts w:ascii="Arial" w:hAnsi="Arial" w:cs="Arial"/>
          <w:b/>
          <w:bCs/>
          <w:sz w:val="32"/>
          <w:szCs w:val="32"/>
        </w:rPr>
        <w:t>Фонд за разсрочени плащания “Бъдеще”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</w:rPr>
        <w:t>за 202</w:t>
      </w:r>
      <w:r w:rsidR="00C23593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г.</w:t>
      </w:r>
    </w:p>
    <w:p w:rsidR="00CC176C" w:rsidRDefault="00CC176C">
      <w:pPr>
        <w:jc w:val="center"/>
        <w:rPr>
          <w:rFonts w:ascii="Arial" w:hAnsi="Arial" w:cs="Arial"/>
          <w:sz w:val="24"/>
          <w:szCs w:val="24"/>
        </w:rPr>
      </w:pPr>
    </w:p>
    <w:p w:rsidR="00CC176C" w:rsidRDefault="00124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Резултати</w:t>
      </w:r>
      <w:proofErr w:type="spellEnd"/>
    </w:p>
    <w:tbl>
      <w:tblPr>
        <w:tblW w:w="4242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9"/>
        <w:gridCol w:w="1373"/>
      </w:tblGrid>
      <w:tr w:rsidR="00CC176C">
        <w:trPr>
          <w:tblCellSpacing w:w="7" w:type="dxa"/>
          <w:jc w:val="center"/>
        </w:trPr>
        <w:tc>
          <w:tcPr>
            <w:tcW w:w="4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76C" w:rsidRDefault="001244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</w:rPr>
              <w:t>Годишна доходност*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76C" w:rsidRDefault="001244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</w:rPr>
              <w:t>ФРП</w:t>
            </w:r>
          </w:p>
        </w:tc>
      </w:tr>
      <w:tr w:rsidR="00CC176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76C" w:rsidRDefault="001244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76C" w:rsidRDefault="001244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  <w:t>-0,51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%</w:t>
            </w:r>
          </w:p>
        </w:tc>
      </w:tr>
      <w:tr w:rsidR="00D361B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1B8" w:rsidRPr="00D361B8" w:rsidRDefault="00D36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  <w:t>2023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1B8" w:rsidRPr="0012444C" w:rsidRDefault="001244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0,42%</w:t>
            </w:r>
          </w:p>
        </w:tc>
      </w:tr>
    </w:tbl>
    <w:p w:rsidR="00CC176C" w:rsidRDefault="00CC17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tbl>
      <w:tblPr>
        <w:tblW w:w="4242" w:type="pct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9"/>
        <w:gridCol w:w="1373"/>
      </w:tblGrid>
      <w:tr w:rsidR="00CC176C">
        <w:trPr>
          <w:tblCellSpacing w:w="7" w:type="dxa"/>
          <w:jc w:val="center"/>
        </w:trPr>
        <w:tc>
          <w:tcPr>
            <w:tcW w:w="4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76C" w:rsidRDefault="001244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</w:rPr>
              <w:t>Стандартно отклонение*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76C" w:rsidRDefault="001244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</w:rPr>
              <w:t>ФРП</w:t>
            </w:r>
          </w:p>
        </w:tc>
      </w:tr>
      <w:tr w:rsidR="00CC176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76C" w:rsidRDefault="001244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2022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76C" w:rsidRDefault="001244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  <w:t>0,22 %</w:t>
            </w:r>
          </w:p>
        </w:tc>
      </w:tr>
      <w:tr w:rsidR="00D361B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1B8" w:rsidRDefault="00D361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bg-BG"/>
              </w:rPr>
              <w:t>2023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1B8" w:rsidRPr="0012444C" w:rsidRDefault="001244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bg-BG"/>
              </w:rPr>
              <w:t>0,64%</w:t>
            </w:r>
          </w:p>
        </w:tc>
      </w:tr>
    </w:tbl>
    <w:p w:rsidR="00CC176C" w:rsidRDefault="0012444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​</w:t>
      </w:r>
    </w:p>
    <w:p w:rsidR="00CC176C" w:rsidRDefault="0012444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br/>
        <w:t>*Фондът е вписан през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октомври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2021 г., поради което няма пет пълни календарни години и са посочени данни само за 2022 г.</w:t>
      </w:r>
      <w:r w:rsidR="00D361B8"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и 2023 г.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br/>
        <w:t xml:space="preserve"> 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br/>
        <w:t>*Посочените резултати нямат по необходимост връзка с бъдещи резултати. Не се гарантира положителна доходност.</w:t>
      </w:r>
    </w:p>
    <w:p w:rsidR="00CC176C" w:rsidRDefault="0012444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ab/>
      </w:r>
    </w:p>
    <w:p w:rsidR="00CC176C" w:rsidRDefault="001244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Описание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показателите</w:t>
      </w:r>
      <w:proofErr w:type="spellEnd"/>
    </w:p>
    <w:p w:rsidR="00CC176C" w:rsidRDefault="0012444C">
      <w:pPr>
        <w:numPr>
          <w:ilvl w:val="0"/>
          <w:numId w:val="2"/>
        </w:numPr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постигна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</w:t>
      </w:r>
      <w:proofErr w:type="spellEnd"/>
    </w:p>
    <w:p w:rsidR="00CC176C" w:rsidRDefault="0012444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Постигнатата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е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процент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управление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активите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фондовете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извършване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плащания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определен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период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и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изчислява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вземайки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предвид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нетните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активи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към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края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предходната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година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нетните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активи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към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края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текущата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година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нетните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парични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потоци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във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фонда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всеки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ден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определя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и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оповестява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задължително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всяка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поредна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календарна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година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предходния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петгодишен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период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.</w:t>
      </w:r>
      <w:proofErr w:type="gramEnd"/>
    </w:p>
    <w:p w:rsidR="00CC176C" w:rsidRDefault="0012444C">
      <w:pPr>
        <w:numPr>
          <w:ilvl w:val="0"/>
          <w:numId w:val="2"/>
        </w:numPr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равнището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инвестиционен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риск</w:t>
      </w:r>
      <w:proofErr w:type="spellEnd"/>
    </w:p>
    <w:p w:rsidR="00CC176C" w:rsidRDefault="0012444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Инвестиционния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риск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е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свързан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с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вероятността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пост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игнатата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отклонява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очакваната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Като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за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измерване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инвестиционния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риск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lastRenderedPageBreak/>
        <w:t>при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управлението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активите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фондовете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е </w:t>
      </w:r>
      <w:proofErr w:type="spellStart"/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възприет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о 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стандартното</w:t>
      </w:r>
      <w:proofErr w:type="spellEnd"/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отклонение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доходността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.</w:t>
      </w:r>
    </w:p>
    <w:p w:rsidR="00CC176C" w:rsidRDefault="00CC17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</w:p>
    <w:p w:rsidR="00CC176C" w:rsidRDefault="00CC176C">
      <w:pPr>
        <w:spacing w:before="100" w:beforeAutospacing="1" w:after="100" w:afterAutospacing="1" w:line="240" w:lineRule="auto"/>
        <w:rPr>
          <w:rStyle w:val="markedcontent"/>
          <w:rFonts w:ascii="Arial" w:hAnsi="Arial" w:cs="Arial"/>
          <w:sz w:val="24"/>
          <w:szCs w:val="24"/>
        </w:rPr>
      </w:pPr>
    </w:p>
    <w:p w:rsidR="00CC176C" w:rsidRDefault="0012444C">
      <w:pPr>
        <w:spacing w:before="100" w:beforeAutospacing="1" w:after="100" w:afterAutospacing="1" w:line="240" w:lineRule="auto"/>
      </w:pPr>
      <w:r>
        <w:rPr>
          <w:noProof/>
          <w:lang w:eastAsia="bg-B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-588645</wp:posOffset>
            </wp:positionV>
            <wp:extent cx="2468245" cy="583565"/>
            <wp:effectExtent l="0" t="0" r="825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83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76C" w:rsidRDefault="0012444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По-високи стойности на стандартното отклонение означават</w:t>
      </w:r>
      <w:r>
        <w:rPr>
          <w:rStyle w:val="markedcontent"/>
          <w:rFonts w:ascii="Arial" w:hAnsi="Arial" w:cs="Arial"/>
          <w:sz w:val="24"/>
          <w:szCs w:val="24"/>
        </w:rPr>
        <w:t xml:space="preserve"> по-висока степен на волатилност на постигнатата доходност около нейната средна или очаквана стойност (r ) и съответно по-голям риск.</w:t>
      </w:r>
    </w:p>
    <w:p w:rsidR="00CC176C" w:rsidRDefault="00CC176C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</w:p>
    <w:p w:rsidR="00CC176C" w:rsidRDefault="0012444C">
      <w:pPr>
        <w:spacing w:before="100" w:beforeAutospacing="1" w:after="100" w:afterAutospacing="1" w:line="240" w:lineRule="auto"/>
        <w:ind w:firstLineChars="150" w:firstLine="360"/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III.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Методика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при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изчисляване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на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>показателите</w:t>
      </w:r>
      <w:proofErr w:type="spellEnd"/>
    </w:p>
    <w:p w:rsidR="00CC176C" w:rsidRDefault="00CC17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CC176C" w:rsidRDefault="0012444C">
      <w:pPr>
        <w:ind w:firstLine="708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SimSun" w:hAnsi="Arial" w:cs="Arial"/>
          <w:sz w:val="24"/>
          <w:szCs w:val="24"/>
        </w:rPr>
        <w:t>1. Постигнатата доходност в процент при управлението на активите на фонд з</w:t>
      </w:r>
      <w:r>
        <w:rPr>
          <w:rFonts w:ascii="Arial" w:eastAsia="SimSun" w:hAnsi="Arial" w:cs="Arial"/>
          <w:sz w:val="24"/>
          <w:szCs w:val="24"/>
        </w:rPr>
        <w:t>а извършване на плащания за календарна година се изчислява съгласно приложение №15а от Наредба № 61 от 27.09.2018 г. по следната формула: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2185035</wp:posOffset>
            </wp:positionH>
            <wp:positionV relativeFrom="paragraph">
              <wp:posOffset>70485</wp:posOffset>
            </wp:positionV>
            <wp:extent cx="3067685" cy="464820"/>
            <wp:effectExtent l="0" t="0" r="18415" b="11430"/>
            <wp:wrapTopAndBottom/>
            <wp:docPr id="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68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Където: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Ra е постигната доходност в проценти за календарната година;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n–брой дни в годината;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i – пореден ден през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годината;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A0 – нетни активи към края на предходната година;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An – нетни активи към края на годината;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Fi – нетен паричен поток във фонда за ден i (със знак + или -);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Където: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Ii са постъпили средства от индивидуалните партиди за извършване на плащания от фонд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а (вкл.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по чл. 170, ал. 9, т. 1 и 3 от КСО), както и средства, постъпили по реда на чл. 192а, ал. 16 и чл.192б, ал. 7 от КСО през i-тия ден на годината;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Mi – размер на начислените задължения през i-тия ден на годината с изключение на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задълженията към лицат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а, получаващи плащания от фонда, извършените разходи по чл. 192а,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ал. 9 от КСО за сметка на фонда и начислената такса по чл. 201, ал. 1, т. 3 от КСО;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lastRenderedPageBreak/>
        <w:t>Ni – изплатени средства през i-тия ден на годината на лицата, получаващи плащания от фонда, и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прехвърлени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средства по чл. 170, ал. 9, т. 3 от КСО.</w:t>
      </w:r>
    </w:p>
    <w:p w:rsidR="00CC176C" w:rsidRDefault="00CC176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CC176C" w:rsidRDefault="00CC176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CC176C" w:rsidRDefault="0012444C">
      <w:pPr>
        <w:ind w:firstLine="708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-489585</wp:posOffset>
            </wp:positionV>
            <wp:extent cx="2468245" cy="583565"/>
            <wp:effectExtent l="0" t="0" r="8255" b="698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83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76C" w:rsidRDefault="00CC176C">
      <w:pPr>
        <w:ind w:firstLine="708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CC176C" w:rsidRDefault="0012444C">
      <w:pPr>
        <w:ind w:firstLine="708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2. Стандартното отклонение на доходността за календарна година се изчислява по формулата: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Където: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2951480</wp:posOffset>
            </wp:positionH>
            <wp:positionV relativeFrom="paragraph">
              <wp:posOffset>220345</wp:posOffset>
            </wp:positionV>
            <wp:extent cx="1656715" cy="457200"/>
            <wp:effectExtent l="0" t="0" r="635" b="0"/>
            <wp:wrapTopAndBottom/>
            <wp:docPr id="5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56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σ е стандартно отклонение на доходността за календарна година;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r̄ - средна стойност на месечните доходности;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rm - постигната доходност в проценти за календарен месец, изчислена по формулата:</w:t>
      </w:r>
    </w:p>
    <w:p w:rsidR="00CC176C" w:rsidRDefault="00CC176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2381885</wp:posOffset>
            </wp:positionH>
            <wp:positionV relativeFrom="paragraph">
              <wp:posOffset>154305</wp:posOffset>
            </wp:positionV>
            <wp:extent cx="2788920" cy="441960"/>
            <wp:effectExtent l="0" t="0" r="11430" b="15240"/>
            <wp:wrapTopAndBottom/>
            <wp:docPr id="7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57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76C" w:rsidRDefault="00CC176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Където: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m е брой дни в месеца;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i – пореден ден през месеца;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A0 – нетни активи към края на предходния месец;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Am – нетни активи към края на месеца;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Fi – нетен паричен поток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 xml:space="preserve"> във фонда за ден i (със знак + или -);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Fi = Ii – Mi – Ni, където: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Ii са постъпили средства от индивидуалните партиди за извършване на плащания от фонда (вкл.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по чл. 170, ал. 9, т. 1 и 3 от КСО), както и средства, постъпили по реда на чл. 192а, ал. 16 и чл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.192б, ал. 7 от КСО през i-тия ден на месеца;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lastRenderedPageBreak/>
        <w:t>Mi – размер на начислените задължения през i-тия ден на месеца с изключение на задълженията</w:t>
      </w: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-471170</wp:posOffset>
            </wp:positionV>
            <wp:extent cx="2468245" cy="583565"/>
            <wp:effectExtent l="0" t="0" r="8255" b="698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835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76C" w:rsidRDefault="00CC176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p w:rsidR="00CC176C" w:rsidRDefault="0012444C">
      <w:pPr>
        <w:rPr>
          <w:rFonts w:ascii="Arial" w:eastAsia="Times New Roman" w:hAnsi="Arial" w:cs="Arial"/>
          <w:kern w:val="0"/>
          <w:sz w:val="24"/>
          <w:szCs w:val="24"/>
          <w:lang w:eastAsia="bg-BG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към лицата, получаващи плащания от фонда, извършените разходи по чл. 192а, ал. 9 от КСО за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сметка на фонда и начисл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ената такса по чл. 201, ал. 1, т. 3 от КСО;</w:t>
      </w:r>
    </w:p>
    <w:p w:rsidR="00CC176C" w:rsidRDefault="0012444C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Ni – изплатени средства на лицата, получаващи плащания от фонда, и прехвърлени средства по</w:t>
      </w:r>
      <w:r>
        <w:rPr>
          <w:rFonts w:ascii="Arial" w:eastAsia="Times New Roman" w:hAnsi="Arial" w:cs="Arial"/>
          <w:kern w:val="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bg-BG"/>
        </w:rPr>
        <w:t>чл. 170, ал. 9, т. 3 от КСО през i-тия ден на месеца.</w:t>
      </w:r>
    </w:p>
    <w:p w:rsidR="00CC176C" w:rsidRDefault="00CC17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bg-BG"/>
        </w:rPr>
      </w:pPr>
    </w:p>
    <w:sectPr w:rsidR="00CC176C" w:rsidSect="00CC1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6C" w:rsidRDefault="0012444C">
      <w:pPr>
        <w:spacing w:line="240" w:lineRule="auto"/>
      </w:pPr>
      <w:r>
        <w:separator/>
      </w:r>
    </w:p>
  </w:endnote>
  <w:endnote w:type="continuationSeparator" w:id="0">
    <w:p w:rsidR="00CC176C" w:rsidRDefault="00124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6C" w:rsidRDefault="0012444C">
      <w:pPr>
        <w:spacing w:after="0"/>
      </w:pPr>
      <w:r>
        <w:separator/>
      </w:r>
    </w:p>
  </w:footnote>
  <w:footnote w:type="continuationSeparator" w:id="0">
    <w:p w:rsidR="00CC176C" w:rsidRDefault="0012444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2C4082"/>
    <w:multiLevelType w:val="singleLevel"/>
    <w:tmpl w:val="9F2C4082"/>
    <w:lvl w:ilvl="0">
      <w:start w:val="1"/>
      <w:numFmt w:val="decimal"/>
      <w:suff w:val="space"/>
      <w:lvlText w:val="%1."/>
      <w:lvlJc w:val="left"/>
    </w:lvl>
  </w:abstractNum>
  <w:abstractNum w:abstractNumId="1">
    <w:nsid w:val="05F1BF53"/>
    <w:multiLevelType w:val="multilevel"/>
    <w:tmpl w:val="05F1BF53"/>
    <w:lvl w:ilvl="0">
      <w:start w:val="1"/>
      <w:numFmt w:val="upperRoman"/>
      <w:suff w:val="space"/>
      <w:lvlText w:val="%1."/>
      <w:lvlJc w:val="left"/>
      <w:pPr>
        <w:ind w:left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12DE"/>
    <w:rsid w:val="000C45AA"/>
    <w:rsid w:val="0012444C"/>
    <w:rsid w:val="00471C05"/>
    <w:rsid w:val="00987B22"/>
    <w:rsid w:val="00B51CE5"/>
    <w:rsid w:val="00C23593"/>
    <w:rsid w:val="00C75F28"/>
    <w:rsid w:val="00CC176C"/>
    <w:rsid w:val="00D361B8"/>
    <w:rsid w:val="00D77641"/>
    <w:rsid w:val="00DA12DE"/>
    <w:rsid w:val="00DC459B"/>
    <w:rsid w:val="00DD72F1"/>
    <w:rsid w:val="00EE62E7"/>
    <w:rsid w:val="17C64D75"/>
    <w:rsid w:val="24824FCF"/>
    <w:rsid w:val="3E717D90"/>
    <w:rsid w:val="3EE64B3B"/>
    <w:rsid w:val="512B65E5"/>
    <w:rsid w:val="5EA10C92"/>
    <w:rsid w:val="645E3C41"/>
    <w:rsid w:val="70BB19F2"/>
    <w:rsid w:val="7CD6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76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rsid w:val="00CC1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CC17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CC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C176C"/>
    <w:rPr>
      <w:b/>
      <w:bCs/>
    </w:rPr>
  </w:style>
  <w:style w:type="character" w:customStyle="1" w:styleId="markedcontent">
    <w:name w:val="markedcontent"/>
    <w:basedOn w:val="DefaultParagraphFont"/>
    <w:qFormat/>
    <w:rsid w:val="00CC176C"/>
  </w:style>
  <w:style w:type="paragraph" w:customStyle="1" w:styleId="Revision1">
    <w:name w:val="Revision1"/>
    <w:hidden/>
    <w:uiPriority w:val="99"/>
    <w:semiHidden/>
    <w:qFormat/>
    <w:rsid w:val="00CC176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DCE8-4F0A-40E2-913B-717CAAE7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Vasilev</dc:creator>
  <cp:lastModifiedBy>tsarafov</cp:lastModifiedBy>
  <cp:revision>12</cp:revision>
  <dcterms:created xsi:type="dcterms:W3CDTF">2023-04-20T06:27:00Z</dcterms:created>
  <dcterms:modified xsi:type="dcterms:W3CDTF">2024-02-26T09:03:00Z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E0D43C9DC0DC4096B595335F1B5E07D8_13</vt:lpwstr>
  </property>
</Properties>
</file>