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4024" w14:textId="54889FAC" w:rsidR="00464A6E" w:rsidRDefault="00552F1F">
      <w:pPr>
        <w:pStyle w:val="LO-Normal"/>
        <w:widowControl w:val="0"/>
        <w:autoSpaceDE w:val="0"/>
        <w:spacing w:after="0" w:line="240" w:lineRule="auto"/>
        <w:jc w:val="center"/>
        <w:rPr>
          <w:rFonts w:ascii="Times New Roman" w:hAnsi="Times New Roman"/>
          <w:b/>
          <w:bCs/>
          <w:sz w:val="24"/>
          <w:szCs w:val="24"/>
        </w:rPr>
      </w:pPr>
      <w:r>
        <w:rPr>
          <w:noProof/>
        </w:rPr>
        <w:drawing>
          <wp:inline distT="0" distB="0" distL="0" distR="0" wp14:anchorId="18627396" wp14:editId="7510CAFE">
            <wp:extent cx="6187789" cy="53202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7">
                      <a:extLst>
                        <a:ext uri="{28A0092B-C50C-407E-A947-70E740481C1C}">
                          <a14:useLocalDpi xmlns:a14="http://schemas.microsoft.com/office/drawing/2010/main" val="0"/>
                        </a:ext>
                      </a:extLst>
                    </a:blip>
                    <a:stretch>
                      <a:fillRect/>
                    </a:stretch>
                  </pic:blipFill>
                  <pic:spPr>
                    <a:xfrm>
                      <a:off x="0" y="0"/>
                      <a:ext cx="6426047" cy="552505"/>
                    </a:xfrm>
                    <a:prstGeom prst="rect">
                      <a:avLst/>
                    </a:prstGeom>
                  </pic:spPr>
                </pic:pic>
              </a:graphicData>
            </a:graphic>
          </wp:inline>
        </w:drawing>
      </w:r>
    </w:p>
    <w:p w14:paraId="7E0CC289" w14:textId="77777777" w:rsidR="00552F1F" w:rsidRDefault="001C0B34">
      <w:pPr>
        <w:pStyle w:val="LO-Normal"/>
        <w:widowControl w:val="0"/>
        <w:autoSpaceDE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4F6271BB" w14:textId="5AA81A7B" w:rsidR="00464A6E" w:rsidRPr="001C0B34" w:rsidRDefault="001C0B34">
      <w:pPr>
        <w:pStyle w:val="LO-Normal"/>
        <w:widowControl w:val="0"/>
        <w:autoSpaceDE w:val="0"/>
        <w:spacing w:after="0" w:line="240" w:lineRule="auto"/>
        <w:jc w:val="center"/>
        <w:rPr>
          <w:rFonts w:ascii="Times New Roman" w:hAnsi="Times New Roman"/>
          <w:sz w:val="24"/>
          <w:szCs w:val="24"/>
        </w:rPr>
      </w:pPr>
      <w:r w:rsidRPr="001C0B34">
        <w:rPr>
          <w:rFonts w:ascii="Times New Roman" w:hAnsi="Times New Roman"/>
          <w:sz w:val="24"/>
          <w:szCs w:val="24"/>
        </w:rPr>
        <w:t xml:space="preserve">Приложение № </w:t>
      </w:r>
      <w:r w:rsidR="004E40D7">
        <w:rPr>
          <w:rFonts w:ascii="Times New Roman" w:hAnsi="Times New Roman"/>
          <w:sz w:val="24"/>
          <w:szCs w:val="24"/>
        </w:rPr>
        <w:t>1</w:t>
      </w:r>
      <w:r w:rsidRPr="001C0B34">
        <w:rPr>
          <w:rFonts w:ascii="Times New Roman" w:hAnsi="Times New Roman"/>
          <w:sz w:val="24"/>
          <w:szCs w:val="24"/>
        </w:rPr>
        <w:t xml:space="preserve"> към чл.5, ал.</w:t>
      </w:r>
      <w:r>
        <w:rPr>
          <w:rFonts w:ascii="Times New Roman" w:hAnsi="Times New Roman"/>
          <w:sz w:val="24"/>
          <w:szCs w:val="24"/>
        </w:rPr>
        <w:t xml:space="preserve"> </w:t>
      </w:r>
      <w:r w:rsidRPr="001C0B34">
        <w:rPr>
          <w:rFonts w:ascii="Times New Roman" w:hAnsi="Times New Roman"/>
          <w:sz w:val="24"/>
          <w:szCs w:val="24"/>
        </w:rPr>
        <w:t>2 от Наредба № 61 на КФН</w:t>
      </w:r>
    </w:p>
    <w:p w14:paraId="0EB1E5CF" w14:textId="77777777" w:rsidR="00464A6E" w:rsidRPr="001C0B34" w:rsidRDefault="00464A6E">
      <w:pPr>
        <w:pStyle w:val="LO-Normal"/>
        <w:widowControl w:val="0"/>
        <w:autoSpaceDE w:val="0"/>
        <w:spacing w:after="0" w:line="240" w:lineRule="auto"/>
        <w:jc w:val="center"/>
        <w:rPr>
          <w:rFonts w:ascii="Times New Roman" w:hAnsi="Times New Roman"/>
          <w:sz w:val="24"/>
          <w:szCs w:val="24"/>
        </w:rPr>
      </w:pPr>
    </w:p>
    <w:p w14:paraId="59C9E5A1" w14:textId="77777777" w:rsidR="00464A6E" w:rsidRDefault="00921D5D">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ИНФОРМАЦИЯ ОТНОСНО ОСНОВНИТЕ ХАРАКТЕРИСТИКИ НА ДОБРОВОЛЕН ПЕНСИОНЕН ФОНД И</w:t>
      </w:r>
    </w:p>
    <w:p w14:paraId="317B2A81" w14:textId="77777777" w:rsidR="00464A6E" w:rsidRDefault="00921D5D">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 xml:space="preserve"> УЧАСТИЕТО В НЕГО</w:t>
      </w:r>
    </w:p>
    <w:p w14:paraId="7D8CC550" w14:textId="524190A5" w:rsidR="0002523F" w:rsidRDefault="0002523F">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(при осигуряване с лични вноски)</w:t>
      </w:r>
    </w:p>
    <w:tbl>
      <w:tblPr>
        <w:tblW w:w="10079" w:type="dxa"/>
        <w:tblInd w:w="-284" w:type="dxa"/>
        <w:tblCellMar>
          <w:top w:w="15" w:type="dxa"/>
          <w:left w:w="15" w:type="dxa"/>
          <w:bottom w:w="15" w:type="dxa"/>
          <w:right w:w="15" w:type="dxa"/>
        </w:tblCellMar>
        <w:tblLook w:val="0000" w:firstRow="0" w:lastRow="0" w:firstColumn="0" w:lastColumn="0" w:noHBand="0" w:noVBand="0"/>
      </w:tblPr>
      <w:tblGrid>
        <w:gridCol w:w="9782"/>
        <w:gridCol w:w="297"/>
      </w:tblGrid>
      <w:tr w:rsidR="00464A6E" w14:paraId="43CDEFAB" w14:textId="77777777">
        <w:tc>
          <w:tcPr>
            <w:tcW w:w="10079" w:type="dxa"/>
            <w:gridSpan w:val="2"/>
            <w:vAlign w:val="center"/>
          </w:tcPr>
          <w:tbl>
            <w:tblPr>
              <w:tblW w:w="9819" w:type="dxa"/>
              <w:tblCellMar>
                <w:left w:w="0" w:type="dxa"/>
                <w:right w:w="0" w:type="dxa"/>
              </w:tblCellMar>
              <w:tblLook w:val="0000" w:firstRow="0" w:lastRow="0" w:firstColumn="0" w:lastColumn="0" w:noHBand="0" w:noVBand="0"/>
            </w:tblPr>
            <w:tblGrid>
              <w:gridCol w:w="4202"/>
              <w:gridCol w:w="5617"/>
            </w:tblGrid>
            <w:tr w:rsidR="00464A6E" w14:paraId="3CCE41C0" w14:textId="77777777">
              <w:trPr>
                <w:trHeight w:val="726"/>
              </w:trPr>
              <w:tc>
                <w:tcPr>
                  <w:tcW w:w="4202" w:type="dxa"/>
                  <w:vAlign w:val="center"/>
                </w:tcPr>
                <w:p w14:paraId="5D1A689C" w14:textId="7EE189CD" w:rsidR="00464A6E" w:rsidRDefault="00464A6E">
                  <w:pPr>
                    <w:pStyle w:val="LO-Normal"/>
                  </w:pPr>
                </w:p>
                <w:p w14:paraId="592C0907"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09634204" w14:textId="77777777" w:rsidR="00464A6E" w:rsidRDefault="00921D5D">
                  <w:pPr>
                    <w:pStyle w:val="LO-Normal"/>
                    <w:rPr>
                      <w:rFonts w:ascii="Times New Roman" w:hAnsi="Times New Roman"/>
                      <w:b/>
                      <w:sz w:val="24"/>
                      <w:szCs w:val="24"/>
                    </w:rPr>
                  </w:pPr>
                  <w:r>
                    <w:rPr>
                      <w:rFonts w:ascii="Times New Roman" w:hAnsi="Times New Roman"/>
                      <w:b/>
                      <w:sz w:val="24"/>
                      <w:szCs w:val="24"/>
                    </w:rPr>
                    <w:t xml:space="preserve">“Пенсионноосигурително дружество - Бъдеще” АД </w:t>
                  </w:r>
                </w:p>
                <w:p w14:paraId="3FE83938" w14:textId="77777777" w:rsidR="00464A6E" w:rsidRDefault="00921D5D">
                  <w:pPr>
                    <w:pStyle w:val="LO-Normal"/>
                    <w:widowControl w:val="0"/>
                    <w:autoSpaceDE w:val="0"/>
                    <w:spacing w:after="0" w:line="240" w:lineRule="auto"/>
                    <w:jc w:val="both"/>
                  </w:pPr>
                  <w:r>
                    <w:rPr>
                      <w:rFonts w:ascii="Times New Roman" w:hAnsi="Times New Roman"/>
                      <w:b/>
                      <w:sz w:val="24"/>
                      <w:szCs w:val="24"/>
                    </w:rPr>
                    <w:t>„Доброволен  пенсионен фонд</w:t>
                  </w:r>
                  <w:r w:rsidRPr="00D81D1D">
                    <w:rPr>
                      <w:rFonts w:ascii="Times New Roman" w:hAnsi="Times New Roman"/>
                      <w:b/>
                      <w:sz w:val="24"/>
                      <w:szCs w:val="24"/>
                      <w:lang w:val="ru-RU"/>
                    </w:rPr>
                    <w:t xml:space="preserve"> – </w:t>
                  </w:r>
                  <w:r>
                    <w:rPr>
                      <w:rFonts w:ascii="Times New Roman" w:hAnsi="Times New Roman"/>
                      <w:b/>
                      <w:sz w:val="24"/>
                      <w:szCs w:val="24"/>
                    </w:rPr>
                    <w:t>Бъдеще“</w:t>
                  </w:r>
                </w:p>
                <w:p w14:paraId="4AE7E1CD" w14:textId="77777777" w:rsidR="00464A6E" w:rsidRDefault="00464A6E">
                  <w:pPr>
                    <w:pStyle w:val="LO-Normal"/>
                    <w:widowControl w:val="0"/>
                    <w:autoSpaceDE w:val="0"/>
                    <w:spacing w:after="0" w:line="240" w:lineRule="auto"/>
                    <w:rPr>
                      <w:rFonts w:ascii="Times New Roman" w:hAnsi="Times New Roman"/>
                      <w:sz w:val="24"/>
                      <w:szCs w:val="24"/>
                    </w:rPr>
                  </w:pPr>
                </w:p>
              </w:tc>
            </w:tr>
            <w:tr w:rsidR="00464A6E" w14:paraId="7E269375" w14:textId="77777777">
              <w:trPr>
                <w:trHeight w:val="66"/>
              </w:trPr>
              <w:tc>
                <w:tcPr>
                  <w:tcW w:w="4202" w:type="dxa"/>
                  <w:vAlign w:val="center"/>
                </w:tcPr>
                <w:p w14:paraId="4FBD3924"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2946047A" w14:textId="77777777" w:rsidR="00464A6E" w:rsidRDefault="00464A6E">
                  <w:pPr>
                    <w:pStyle w:val="LO-Normal"/>
                    <w:widowControl w:val="0"/>
                    <w:autoSpaceDE w:val="0"/>
                    <w:spacing w:after="0" w:line="240" w:lineRule="auto"/>
                    <w:rPr>
                      <w:rFonts w:ascii="Times New Roman" w:hAnsi="Times New Roman"/>
                      <w:i/>
                      <w:iCs/>
                      <w:sz w:val="24"/>
                      <w:szCs w:val="24"/>
                    </w:rPr>
                  </w:pPr>
                </w:p>
              </w:tc>
            </w:tr>
          </w:tbl>
          <w:p w14:paraId="28F3F939" w14:textId="089AFBB8" w:rsidR="00464A6E" w:rsidRDefault="00921D5D">
            <w:pPr>
              <w:pStyle w:val="LO-Normal"/>
              <w:widowControl w:val="0"/>
              <w:autoSpaceDE w:val="0"/>
              <w:spacing w:after="0" w:line="240" w:lineRule="auto"/>
              <w:ind w:left="5664" w:firstLine="480"/>
              <w:jc w:val="both"/>
            </w:pPr>
            <w:r w:rsidRPr="00D81D1D">
              <w:rPr>
                <w:rFonts w:ascii="Times New Roman" w:hAnsi="Times New Roman"/>
                <w:sz w:val="20"/>
                <w:szCs w:val="20"/>
                <w:lang w:val="ru-RU"/>
              </w:rPr>
              <w:t xml:space="preserve">                                                                                                                    </w:t>
            </w:r>
          </w:p>
          <w:p w14:paraId="32ACD427" w14:textId="77777777" w:rsidR="00464A6E" w:rsidRPr="00D81D1D" w:rsidRDefault="00921D5D">
            <w:pPr>
              <w:pStyle w:val="LO-Normal"/>
              <w:widowControl w:val="0"/>
              <w:autoSpaceDE w:val="0"/>
              <w:spacing w:after="0" w:line="240" w:lineRule="auto"/>
              <w:ind w:firstLine="480"/>
              <w:jc w:val="both"/>
              <w:rPr>
                <w:rFonts w:ascii="Times New Roman" w:hAnsi="Times New Roman"/>
                <w:sz w:val="24"/>
                <w:szCs w:val="24"/>
                <w:lang w:val="ru-RU"/>
              </w:rPr>
            </w:pPr>
            <w:r w:rsidRPr="00D81D1D">
              <w:rPr>
                <w:rFonts w:ascii="Times New Roman" w:hAnsi="Times New Roman"/>
                <w:sz w:val="24"/>
                <w:szCs w:val="24"/>
                <w:lang w:val="ru-RU"/>
              </w:rPr>
              <w:t xml:space="preserve">                                           </w:t>
            </w:r>
          </w:p>
          <w:p w14:paraId="2B53AAD8"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r>
      <w:tr w:rsidR="00464A6E" w14:paraId="5F228F1A" w14:textId="77777777">
        <w:tc>
          <w:tcPr>
            <w:tcW w:w="9782" w:type="dxa"/>
            <w:vAlign w:val="center"/>
          </w:tcPr>
          <w:tbl>
            <w:tblPr>
              <w:tblW w:w="8060" w:type="dxa"/>
              <w:jc w:val="center"/>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698"/>
              <w:gridCol w:w="4222"/>
              <w:gridCol w:w="3140"/>
            </w:tblGrid>
            <w:tr w:rsidR="00464A6E" w14:paraId="43895A5A" w14:textId="77777777" w:rsidTr="002F6E72">
              <w:trPr>
                <w:trHeight w:val="258"/>
                <w:jc w:val="center"/>
              </w:trPr>
              <w:tc>
                <w:tcPr>
                  <w:tcW w:w="8060" w:type="dxa"/>
                  <w:gridSpan w:val="3"/>
                  <w:tcBorders>
                    <w:top w:val="single" w:sz="4" w:space="0" w:color="auto"/>
                    <w:left w:val="single" w:sz="4" w:space="0" w:color="auto"/>
                    <w:bottom w:val="single" w:sz="4" w:space="0" w:color="auto"/>
                    <w:right w:val="single" w:sz="4" w:space="0" w:color="auto"/>
                  </w:tcBorders>
                  <w:vAlign w:val="center"/>
                </w:tcPr>
                <w:p w14:paraId="4E704CBC"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453CAB6D" w14:textId="77777777" w:rsidR="00464A6E" w:rsidRDefault="00921D5D">
                  <w:pPr>
                    <w:pStyle w:val="LO-Normal"/>
                    <w:widowControl w:val="0"/>
                    <w:autoSpaceDE w:val="0"/>
                    <w:spacing w:after="0" w:line="240" w:lineRule="auto"/>
                    <w:ind w:firstLine="480"/>
                    <w:jc w:val="both"/>
                  </w:pPr>
                  <w:r>
                    <w:rPr>
                      <w:rFonts w:ascii="Times New Roman" w:hAnsi="Times New Roman"/>
                      <w:sz w:val="20"/>
                      <w:szCs w:val="20"/>
                    </w:rPr>
                    <w:t xml:space="preserve">Акционери, притежаващи 10 и над 10 на сто от капитала на </w:t>
                  </w:r>
                  <w:r w:rsidRPr="00D81D1D">
                    <w:rPr>
                      <w:rFonts w:ascii="Times New Roman" w:hAnsi="Times New Roman"/>
                      <w:sz w:val="20"/>
                      <w:szCs w:val="20"/>
                      <w:lang w:val="ru-RU"/>
                    </w:rPr>
                    <w:t>“</w:t>
                  </w:r>
                  <w:r w:rsidRPr="001C0B34">
                    <w:rPr>
                      <w:rFonts w:ascii="Times New Roman" w:hAnsi="Times New Roman"/>
                      <w:sz w:val="20"/>
                      <w:szCs w:val="20"/>
                    </w:rPr>
                    <w:t>ПОД-БЪДЕЩЕ“ АД</w:t>
                  </w:r>
                </w:p>
              </w:tc>
            </w:tr>
            <w:tr w:rsidR="00464A6E" w14:paraId="0D70E3A6" w14:textId="77777777" w:rsidTr="002F6E72">
              <w:trPr>
                <w:trHeight w:val="248"/>
                <w:jc w:val="center"/>
              </w:trPr>
              <w:tc>
                <w:tcPr>
                  <w:tcW w:w="698" w:type="dxa"/>
                  <w:tcBorders>
                    <w:top w:val="single" w:sz="4" w:space="0" w:color="auto"/>
                    <w:left w:val="single" w:sz="4" w:space="0" w:color="auto"/>
                    <w:bottom w:val="single" w:sz="4" w:space="0" w:color="auto"/>
                    <w:right w:val="single" w:sz="4" w:space="0" w:color="auto"/>
                  </w:tcBorders>
                  <w:vAlign w:val="center"/>
                </w:tcPr>
                <w:p w14:paraId="075BFBCD"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6ED7976D" w14:textId="77777777" w:rsidR="00464A6E" w:rsidRDefault="00921D5D">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w:t>
                  </w:r>
                </w:p>
              </w:tc>
              <w:tc>
                <w:tcPr>
                  <w:tcW w:w="4222" w:type="dxa"/>
                  <w:tcBorders>
                    <w:top w:val="single" w:sz="4" w:space="0" w:color="auto"/>
                    <w:left w:val="single" w:sz="4" w:space="0" w:color="auto"/>
                    <w:bottom w:val="single" w:sz="4" w:space="0" w:color="auto"/>
                    <w:right w:val="single" w:sz="4" w:space="0" w:color="auto"/>
                  </w:tcBorders>
                  <w:vAlign w:val="center"/>
                </w:tcPr>
                <w:p w14:paraId="5FD91407"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25E22BE2" w14:textId="77777777" w:rsidR="00464A6E" w:rsidRDefault="00921D5D">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Име, презиме, фамилия за ФЛ/наименование и ЕИК за ЮЛ</w:t>
                  </w:r>
                </w:p>
              </w:tc>
              <w:tc>
                <w:tcPr>
                  <w:tcW w:w="3140" w:type="dxa"/>
                  <w:tcBorders>
                    <w:top w:val="single" w:sz="4" w:space="0" w:color="auto"/>
                    <w:left w:val="single" w:sz="4" w:space="0" w:color="auto"/>
                    <w:bottom w:val="single" w:sz="4" w:space="0" w:color="auto"/>
                    <w:right w:val="single" w:sz="4" w:space="0" w:color="auto"/>
                  </w:tcBorders>
                  <w:vAlign w:val="center"/>
                </w:tcPr>
                <w:p w14:paraId="70BA40AF"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345073A2" w14:textId="77777777" w:rsidR="00464A6E" w:rsidRDefault="00921D5D">
                  <w:pPr>
                    <w:pStyle w:val="LO-Normal"/>
                    <w:widowControl w:val="0"/>
                    <w:autoSpaceDE w:val="0"/>
                    <w:spacing w:after="0" w:line="240" w:lineRule="auto"/>
                    <w:jc w:val="center"/>
                    <w:rPr>
                      <w:rFonts w:ascii="Times New Roman" w:hAnsi="Times New Roman"/>
                      <w:sz w:val="20"/>
                      <w:szCs w:val="20"/>
                    </w:rPr>
                  </w:pPr>
                  <w:r>
                    <w:rPr>
                      <w:rFonts w:ascii="Times New Roman" w:hAnsi="Times New Roman"/>
                      <w:sz w:val="20"/>
                      <w:szCs w:val="20"/>
                    </w:rPr>
                    <w:t>Размер на участието в капитала</w:t>
                  </w:r>
                </w:p>
              </w:tc>
            </w:tr>
            <w:tr w:rsidR="00464A6E" w14:paraId="27E45414" w14:textId="77777777" w:rsidTr="002F6E72">
              <w:trPr>
                <w:trHeight w:val="383"/>
                <w:jc w:val="center"/>
              </w:trPr>
              <w:tc>
                <w:tcPr>
                  <w:tcW w:w="698" w:type="dxa"/>
                  <w:tcBorders>
                    <w:top w:val="single" w:sz="4" w:space="0" w:color="auto"/>
                    <w:left w:val="single" w:sz="4" w:space="0" w:color="auto"/>
                    <w:bottom w:val="single" w:sz="4" w:space="0" w:color="auto"/>
                    <w:right w:val="single" w:sz="4" w:space="0" w:color="auto"/>
                  </w:tcBorders>
                  <w:vAlign w:val="center"/>
                </w:tcPr>
                <w:p w14:paraId="3EDA09F5"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4DBCCDC0" w14:textId="77777777" w:rsidR="00464A6E" w:rsidRDefault="00921D5D">
                  <w:pPr>
                    <w:pStyle w:val="LO-Normal"/>
                    <w:widowControl w:val="0"/>
                    <w:autoSpaceDE w:val="0"/>
                    <w:spacing w:after="0" w:line="240" w:lineRule="auto"/>
                    <w:ind w:firstLine="480"/>
                    <w:jc w:val="both"/>
                  </w:pPr>
                  <w:r>
                    <w:rPr>
                      <w:rFonts w:ascii="Times New Roman" w:hAnsi="Times New Roman"/>
                      <w:sz w:val="20"/>
                      <w:szCs w:val="20"/>
                    </w:rPr>
                    <w:t>1</w:t>
                  </w:r>
                </w:p>
              </w:tc>
              <w:tc>
                <w:tcPr>
                  <w:tcW w:w="4222" w:type="dxa"/>
                  <w:tcBorders>
                    <w:top w:val="single" w:sz="4" w:space="0" w:color="auto"/>
                    <w:left w:val="single" w:sz="4" w:space="0" w:color="auto"/>
                    <w:bottom w:val="single" w:sz="4" w:space="0" w:color="auto"/>
                    <w:right w:val="single" w:sz="4" w:space="0" w:color="auto"/>
                  </w:tcBorders>
                  <w:vAlign w:val="center"/>
                </w:tcPr>
                <w:p w14:paraId="5F2E1F1B"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076C3F48" w14:textId="6F36549D" w:rsidR="00464A6E" w:rsidRDefault="001C0B34">
                  <w:pPr>
                    <w:pStyle w:val="LO-Normal"/>
                    <w:widowControl w:val="0"/>
                    <w:autoSpaceDE w:val="0"/>
                    <w:spacing w:after="0" w:line="240" w:lineRule="auto"/>
                    <w:ind w:firstLine="480"/>
                    <w:jc w:val="both"/>
                    <w:rPr>
                      <w:rFonts w:ascii="Times New Roman" w:hAnsi="Times New Roman"/>
                      <w:sz w:val="20"/>
                      <w:szCs w:val="20"/>
                    </w:rPr>
                  </w:pPr>
                  <w:r w:rsidRPr="001C0B34">
                    <w:rPr>
                      <w:rFonts w:ascii="Times New Roman" w:hAnsi="Times New Roman"/>
                      <w:sz w:val="20"/>
                      <w:szCs w:val="20"/>
                    </w:rPr>
                    <w:t xml:space="preserve">         </w:t>
                  </w:r>
                  <w:proofErr w:type="spellStart"/>
                  <w:r w:rsidRPr="001C0B34">
                    <w:rPr>
                      <w:rFonts w:ascii="Times New Roman" w:hAnsi="Times New Roman"/>
                      <w:sz w:val="20"/>
                      <w:szCs w:val="20"/>
                      <w:lang w:val="en-US"/>
                    </w:rPr>
                    <w:t>Тодор</w:t>
                  </w:r>
                  <w:proofErr w:type="spellEnd"/>
                  <w:r w:rsidRPr="001C0B34">
                    <w:rPr>
                      <w:rFonts w:ascii="Times New Roman" w:hAnsi="Times New Roman"/>
                      <w:sz w:val="20"/>
                      <w:szCs w:val="20"/>
                      <w:lang w:val="en-US"/>
                    </w:rPr>
                    <w:t xml:space="preserve"> </w:t>
                  </w:r>
                  <w:proofErr w:type="spellStart"/>
                  <w:r w:rsidRPr="001C0B34">
                    <w:rPr>
                      <w:rFonts w:ascii="Times New Roman" w:hAnsi="Times New Roman"/>
                      <w:sz w:val="20"/>
                      <w:szCs w:val="20"/>
                      <w:lang w:val="en-US"/>
                    </w:rPr>
                    <w:t>Димитров</w:t>
                  </w:r>
                  <w:proofErr w:type="spellEnd"/>
                  <w:r w:rsidRPr="001C0B34">
                    <w:rPr>
                      <w:rFonts w:ascii="Times New Roman" w:hAnsi="Times New Roman"/>
                      <w:sz w:val="20"/>
                      <w:szCs w:val="20"/>
                      <w:lang w:val="en-US"/>
                    </w:rPr>
                    <w:t xml:space="preserve"> </w:t>
                  </w:r>
                  <w:proofErr w:type="spellStart"/>
                  <w:r w:rsidRPr="001C0B34">
                    <w:rPr>
                      <w:rFonts w:ascii="Times New Roman" w:hAnsi="Times New Roman"/>
                      <w:sz w:val="20"/>
                      <w:szCs w:val="20"/>
                      <w:lang w:val="en-US"/>
                    </w:rPr>
                    <w:t>Табаков</w:t>
                  </w:r>
                  <w:proofErr w:type="spellEnd"/>
                </w:p>
              </w:tc>
              <w:tc>
                <w:tcPr>
                  <w:tcW w:w="3140" w:type="dxa"/>
                  <w:tcBorders>
                    <w:top w:val="single" w:sz="4" w:space="0" w:color="auto"/>
                    <w:left w:val="single" w:sz="4" w:space="0" w:color="auto"/>
                    <w:bottom w:val="single" w:sz="4" w:space="0" w:color="auto"/>
                    <w:right w:val="single" w:sz="4" w:space="0" w:color="auto"/>
                  </w:tcBorders>
                  <w:vAlign w:val="center"/>
                </w:tcPr>
                <w:p w14:paraId="5EC452EB"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2CADF031" w14:textId="5DE32D06" w:rsidR="00464A6E" w:rsidRDefault="003A72AA">
                  <w:pPr>
                    <w:pStyle w:val="LO-Normal"/>
                    <w:widowControl w:val="0"/>
                    <w:autoSpaceDE w:val="0"/>
                    <w:spacing w:after="0" w:line="240" w:lineRule="auto"/>
                    <w:jc w:val="center"/>
                  </w:pPr>
                  <w:r>
                    <w:rPr>
                      <w:rFonts w:ascii="Times New Roman" w:hAnsi="Times New Roman"/>
                      <w:sz w:val="20"/>
                      <w:szCs w:val="20"/>
                    </w:rPr>
                    <w:t>82.29</w:t>
                  </w:r>
                  <w:r w:rsidR="00921D5D">
                    <w:rPr>
                      <w:rFonts w:ascii="Times New Roman" w:hAnsi="Times New Roman"/>
                      <w:sz w:val="20"/>
                      <w:szCs w:val="20"/>
                    </w:rPr>
                    <w:t xml:space="preserve"> %</w:t>
                  </w:r>
                </w:p>
              </w:tc>
            </w:tr>
          </w:tbl>
          <w:p w14:paraId="7D7A59A8"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c>
          <w:tcPr>
            <w:tcW w:w="297" w:type="dxa"/>
            <w:tcMar>
              <w:top w:w="0" w:type="dxa"/>
              <w:left w:w="10" w:type="dxa"/>
              <w:bottom w:w="0" w:type="dxa"/>
              <w:right w:w="10" w:type="dxa"/>
            </w:tcMar>
          </w:tcPr>
          <w:p w14:paraId="59CE6C6E"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r>
    </w:tbl>
    <w:p w14:paraId="4BD8BBCD"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w:t>
      </w:r>
    </w:p>
    <w:p w14:paraId="54A97BC4"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І. Какво трябва да знаете за допълнителното доброволно пенсионно осигуряване в доброволен пенсионен фонд (ДПФ)</w:t>
      </w:r>
    </w:p>
    <w:p w14:paraId="04FDF54F"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1DB888C8"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Допълнителното доброволно пенсионно осигуряване в ДПФ е част от Третия стълб на пенсионната система в Република България. То се осъществява от частни пенсионноосигурителни дружества, които учредяват и управляват доброволни пенсионни фондове. Всяко пенсионноосигурително дружество(ПОД) може да управлява само по един ДПФ.</w:t>
      </w:r>
    </w:p>
    <w:p w14:paraId="4B641328"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Нормативната уредба на допълнителното доброволно пенсионно осигуряване се съдържа в част ІІ на Кодекса за социално осигуряване (КСО) и в подзаконовите актове по прилагането му.</w:t>
      </w:r>
    </w:p>
    <w:p w14:paraId="593FCFB4"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не е задължително. Изборът на ДПФ е личен и свободен. В него може да се осигурява или да бъде осигурявано всяко лице, навършило 16 години.</w:t>
      </w:r>
    </w:p>
    <w:p w14:paraId="001014FF"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Осигурителен договор може да се сключи в офис на дружеството, управляващо избрания ДПФ, чрез осигурителен посредник на това дружество или по електронен път с квалифициран електронен подпис. Осигурителният посредник следва да Ви представи документ, който го легитимира за упражняване на дейността по сключване на осигурителни договори от името и за сметка на дружеството. При съмнения дали определено лице действително е посредник на дружеството, може да се направи справка във водения от КФН регистър, достъпен на нейната интернет страница (www.fsc.bg). При подписване на договора ПОД следва да Ви предостави екземпляр от него. Също така имате право да получите копие от основния устройствен акт на ДПФ – правилника за организацията и дейността му, и копие от инвестиционната му политика.</w:t>
      </w:r>
    </w:p>
    <w:p w14:paraId="04021DA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Осигурителната вноска може да бъде месечна, за друг период или еднократна.</w:t>
      </w:r>
    </w:p>
    <w:p w14:paraId="60377CA9"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Осигурителни вноски могат да правят:</w:t>
      </w:r>
    </w:p>
    <w:p w14:paraId="4BB6385A" w14:textId="2B71337B"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осигуреното лице – за своя сметка;</w:t>
      </w:r>
    </w:p>
    <w:p w14:paraId="289CBDF9" w14:textId="016235D5"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работодателят на лицето – в полза на осигуреното лице, което трябва да е предоставило писмено съгласие за това;</w:t>
      </w:r>
    </w:p>
    <w:p w14:paraId="2030B4CD" w14:textId="253DA2E3"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друг осигурител – в полза на осигуреното лице, което трябва да е предоставило писмено съгласие за това.</w:t>
      </w:r>
    </w:p>
    <w:p w14:paraId="0794F0EC"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Осигурителите са длъжни по желание на осигуреното лице да удържат от възнаграждението му за съответния месец осигурителната вноска, която е за негова сметка, и да я превеждат на съответния ДПФ. Внасянето на осигурителни вноски от осигурителите не задължава осигуреното лице да прави вноски за своя  сметка.</w:t>
      </w:r>
    </w:p>
    <w:p w14:paraId="77EB360B"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Тъй като осигуряването в ДПФ е изградено изцяло на доброволен принцип, може внасянето на осигурителни вноски да се прекъсва, като това не води до загуба на пенсионни права или санкции за осигурителя или осигуреното лице. При възможност внасянето на осигурителни вноски може да се поднови.</w:t>
      </w:r>
    </w:p>
    <w:p w14:paraId="15853990"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Осигурителните вноски на всяко лице се натрупват по негова индивидуална партида във фонда, като вноските от осигурителите се водят отделно от личните вноски и от вноските на другия осигурител. Натрупаните средства по индивидуалната партида на осигуреното лице са лични и се наследяват.</w:t>
      </w:r>
    </w:p>
    <w:p w14:paraId="32FDFCA4"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Съвкупността от средствата в партидите формира нетните активи на ДПФ. ПОД</w:t>
      </w:r>
    </w:p>
    <w:p w14:paraId="54D1E350" w14:textId="77777777" w:rsidR="00464A6E" w:rsidRDefault="00921D5D">
      <w:pPr>
        <w:pStyle w:val="LO-Normal"/>
        <w:widowControl w:val="0"/>
        <w:autoSpaceDE w:val="0"/>
        <w:spacing w:after="0" w:line="240" w:lineRule="auto"/>
        <w:jc w:val="both"/>
      </w:pPr>
      <w:r>
        <w:rPr>
          <w:rFonts w:ascii="Times New Roman" w:hAnsi="Times New Roman"/>
          <w:sz w:val="24"/>
          <w:szCs w:val="24"/>
        </w:rPr>
        <w:t>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130A55B2" w14:textId="39E8ED18"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Осигуреният в ДПФ има право на лична пенсия за старост, която </w:t>
      </w:r>
      <w:r w:rsidR="00682649">
        <w:rPr>
          <w:rFonts w:ascii="Times New Roman" w:hAnsi="Times New Roman"/>
          <w:sz w:val="24"/>
          <w:szCs w:val="24"/>
        </w:rPr>
        <w:t xml:space="preserve">е </w:t>
      </w:r>
      <w:r>
        <w:rPr>
          <w:rFonts w:ascii="Times New Roman" w:hAnsi="Times New Roman"/>
          <w:sz w:val="24"/>
          <w:szCs w:val="24"/>
        </w:rPr>
        <w:t>срочна, в зависимост от предвиденото в правилника за организацията и дейността на фонда и предпочитанията на лицето. Правото на пенсия възниква при придобиване на право на пенсия за осигурителен стаж и възраст от държавното обществено осигуряване. Пенсия от ДПФ може да бъде получавана и при навършване на възрастта за придобиване право на пенсия за осигурителен стаж и възраст или до 5 години преди навършване на тази възраст.</w:t>
      </w:r>
    </w:p>
    <w:p w14:paraId="0E865B25" w14:textId="21604206" w:rsidR="00464A6E" w:rsidRDefault="00921D5D">
      <w:pPr>
        <w:pStyle w:val="LO-Normal"/>
        <w:widowControl w:val="0"/>
        <w:autoSpaceDE w:val="0"/>
        <w:spacing w:after="0" w:line="240" w:lineRule="auto"/>
        <w:ind w:firstLine="480"/>
        <w:jc w:val="both"/>
      </w:pPr>
      <w:r>
        <w:rPr>
          <w:rFonts w:ascii="Times New Roman" w:hAnsi="Times New Roman"/>
          <w:sz w:val="24"/>
          <w:szCs w:val="24"/>
        </w:rPr>
        <w:t>Размерът на</w:t>
      </w:r>
      <w:r w:rsidR="00682649" w:rsidRPr="00682649">
        <w:rPr>
          <w:rFonts w:ascii="Times New Roman" w:hAnsi="Times New Roman"/>
          <w:sz w:val="24"/>
          <w:szCs w:val="24"/>
        </w:rPr>
        <w:t xml:space="preserve"> срочната пенсия</w:t>
      </w:r>
      <w:r>
        <w:rPr>
          <w:rFonts w:ascii="Times New Roman" w:hAnsi="Times New Roman"/>
          <w:sz w:val="24"/>
          <w:szCs w:val="24"/>
        </w:rPr>
        <w:t>, получавана от ДПФ</w:t>
      </w:r>
      <w:r w:rsidR="00682649">
        <w:rPr>
          <w:rFonts w:ascii="Times New Roman" w:hAnsi="Times New Roman"/>
          <w:sz w:val="24"/>
          <w:szCs w:val="24"/>
        </w:rPr>
        <w:t xml:space="preserve"> се определя </w:t>
      </w:r>
      <w:r>
        <w:rPr>
          <w:rFonts w:ascii="Times New Roman" w:hAnsi="Times New Roman"/>
          <w:sz w:val="24"/>
          <w:szCs w:val="24"/>
        </w:rPr>
        <w:t>от натрупаната сума по индивидуалната партида, срока на получаване и технически лихвен процент. Сумата по индивидуалната партида се формира от направените вноски и дохода от тяхното инвестиране, намалени с таксите и  удръжките, предвидени в КСО и в правилника на фонда.</w:t>
      </w:r>
    </w:p>
    <w:p w14:paraId="536346DF" w14:textId="34E70219"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дава право и на лична пенсия за инвалидност. То възниква от датата на инвалидизирането, посочена в решението на териториалната експертна лекарска комисия (ТЕЛК) или на Националната експертна лекарска комисия (НЕЛК). Личната пенсия за инвалидност срочна в зависимост от решението на ТЕЛК или НЕЛК</w:t>
      </w:r>
      <w:r w:rsidR="00682649">
        <w:rPr>
          <w:rFonts w:ascii="Times New Roman" w:hAnsi="Times New Roman"/>
          <w:sz w:val="24"/>
          <w:szCs w:val="24"/>
        </w:rPr>
        <w:t>, но не повече от 20 г</w:t>
      </w:r>
      <w:r>
        <w:rPr>
          <w:rFonts w:ascii="Times New Roman" w:hAnsi="Times New Roman"/>
          <w:sz w:val="24"/>
          <w:szCs w:val="24"/>
        </w:rPr>
        <w:t>.</w:t>
      </w:r>
    </w:p>
    <w:p w14:paraId="22A2CE34"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Осигуреното в ДПФ лице може във всеки един момент да изтегли натрупаните  средства по индивидуалната си партида от лични вноски. Средствата, натрупани  от вноски за сметка на работодател, могат да бъдат получени при придобиване право на лична пенсия за старост или за инвалидност. Средствата от вноски на друг осигурител могат да бъдат изтеглени преди придобиване на право на пенсия, ако другият осигурител не е ограничил правото за това.</w:t>
      </w:r>
    </w:p>
    <w:p w14:paraId="5ACD57A9"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Осигуреното лице може да прехвърли натрупаните средства по индивидуалната му партида или част от тях от един в друг ДПФ не повече от веднъж в рамките на една календарна година. В случай на несъгласие с извършени промени в правилника за организацията и дейността на ДПФ или в инвестиционната му политика, които не произтичат от изменение в нормативната уредба, осигуреното лице има право да прехвърли натрупаните средства по индивидуалната си партида в друг ДПФ, ако в тримесечен срок от уведомлението за направените промени подаде заявление за това. Работодателят или другият осигурител може да ограничи правото на прехвърляне в друг ДПФ на средствата, натрупани от вноски  за тяхна сметка. Ограничението за прехвърляне не се прилага при прекратяване на осигурителния договор и при прекратяване на трудовото отношение с работодателя. Също така осигуреното лице има право да прехвърли не повече от веднъж в рамките на една календарна година </w:t>
      </w:r>
      <w:r>
        <w:rPr>
          <w:rFonts w:ascii="Times New Roman" w:hAnsi="Times New Roman"/>
          <w:sz w:val="24"/>
          <w:szCs w:val="24"/>
        </w:rPr>
        <w:lastRenderedPageBreak/>
        <w:t>натрупаните по индивидуалната му партида средства от лични вноски или част от тях по индивидуална партида на съпруг или на роднини по права линия до втора степен.</w:t>
      </w:r>
    </w:p>
    <w:p w14:paraId="12A8E622"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дава право и на наследствена пенсия. Осигуреното лице посочва своите наследници в договора за допълнително доброволно пенсионно осигуряване, в противен случай за такива се приемат законовите наследници.</w:t>
      </w:r>
    </w:p>
    <w:p w14:paraId="749163DD" w14:textId="4A900A83"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Осигуреното лице има възможност да промени посочените от него наследници. </w:t>
      </w:r>
    </w:p>
    <w:p w14:paraId="08B11A5D"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Наследниците на починало осигурено лице могат да получат натрупаните по индивидуалната партида средства и под формата на еднократно или разсрочено  изплащане.</w:t>
      </w:r>
    </w:p>
    <w:p w14:paraId="0D4D05AE"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Личните вноски за допълнително доброволно пенсионно осигуряване в размер до 10% от месечната, съответно годишната данъчна основа, не подлежат на данъчно облагане.</w:t>
      </w:r>
    </w:p>
    <w:p w14:paraId="5EDF97E9"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Приходите от инвестиране на активите на ДПФ, разпределени по индивидуалните партиди на осигурените лица, не се облагат с данък по реда на Закона за данъците върху доходите на физическите лица.</w:t>
      </w:r>
    </w:p>
    <w:p w14:paraId="42D3AC39"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Пенсиите, отпускани от ДПФ, не подлежат на данъчно облагане.</w:t>
      </w:r>
    </w:p>
    <w:p w14:paraId="4D82D3BC"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Надзорът върху ПОД се осъществява от Комисията за финансов надзор (КФН) и нейния заместник-председател, ръководещ управление "Осигурителен надзор".</w:t>
      </w:r>
    </w:p>
    <w:p w14:paraId="2F01A2A6"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ІІ. Основни характеристики на пенсионния фонд</w:t>
      </w:r>
    </w:p>
    <w:p w14:paraId="6CC97B7D"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08936BAA"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1. Осигурителни плащания</w:t>
      </w:r>
    </w:p>
    <w:p w14:paraId="1A9618F9" w14:textId="77777777" w:rsidR="00464A6E" w:rsidRPr="005F2F78" w:rsidRDefault="00921D5D">
      <w:pPr>
        <w:pStyle w:val="LO-Normal"/>
        <w:widowControl w:val="0"/>
        <w:autoSpaceDE w:val="0"/>
        <w:spacing w:after="0" w:line="240" w:lineRule="auto"/>
        <w:ind w:firstLine="480"/>
        <w:jc w:val="both"/>
      </w:pPr>
      <w:r>
        <w:rPr>
          <w:rFonts w:ascii="Times New Roman" w:hAnsi="Times New Roman"/>
          <w:sz w:val="24"/>
          <w:szCs w:val="24"/>
        </w:rPr>
        <w:t xml:space="preserve">При осигуряване в „ДПФ – БЪДЕЩЕ“ Вие имате право на следните осигурителни </w:t>
      </w:r>
      <w:r w:rsidRPr="005F2F78">
        <w:rPr>
          <w:rFonts w:ascii="Times New Roman" w:hAnsi="Times New Roman"/>
          <w:sz w:val="24"/>
          <w:szCs w:val="24"/>
        </w:rPr>
        <w:t>плащания:</w:t>
      </w:r>
    </w:p>
    <w:p w14:paraId="0432C566" w14:textId="48F0AD92"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лична срочна пенсия за старост;</w:t>
      </w:r>
    </w:p>
    <w:p w14:paraId="600F7469" w14:textId="29D1C6CD"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лична срочна пенсия за инвалидност;</w:t>
      </w:r>
    </w:p>
    <w:p w14:paraId="155E945E" w14:textId="19C46CE0"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еднократно или разсрочено изплащане на натрупаните средства по</w:t>
      </w:r>
      <w:r w:rsidR="000169EA" w:rsidRPr="005F2F78">
        <w:rPr>
          <w:rFonts w:ascii="Times New Roman" w:hAnsi="Times New Roman"/>
          <w:sz w:val="24"/>
          <w:szCs w:val="24"/>
        </w:rPr>
        <w:t xml:space="preserve"> </w:t>
      </w:r>
      <w:r w:rsidRPr="005F2F78">
        <w:rPr>
          <w:rFonts w:ascii="Times New Roman" w:hAnsi="Times New Roman"/>
          <w:sz w:val="24"/>
          <w:szCs w:val="24"/>
        </w:rPr>
        <w:t>индивидуалната партида;</w:t>
      </w:r>
    </w:p>
    <w:p w14:paraId="570C5078" w14:textId="77777777" w:rsidR="000169EA" w:rsidRPr="005F2F78" w:rsidRDefault="00921D5D" w:rsidP="000169EA">
      <w:pPr>
        <w:pStyle w:val="LO-Normal"/>
        <w:widowControl w:val="0"/>
        <w:numPr>
          <w:ilvl w:val="0"/>
          <w:numId w:val="4"/>
        </w:numPr>
        <w:autoSpaceDE w:val="0"/>
        <w:spacing w:after="0" w:line="240" w:lineRule="auto"/>
        <w:jc w:val="both"/>
      </w:pPr>
      <w:r w:rsidRPr="005F2F78">
        <w:rPr>
          <w:rFonts w:ascii="Times New Roman" w:hAnsi="Times New Roman"/>
          <w:sz w:val="24"/>
          <w:szCs w:val="24"/>
        </w:rPr>
        <w:t>наследствена</w:t>
      </w:r>
      <w:r w:rsidR="000169EA" w:rsidRPr="005F2F78">
        <w:rPr>
          <w:rFonts w:ascii="Times New Roman" w:hAnsi="Times New Roman"/>
          <w:sz w:val="24"/>
          <w:szCs w:val="24"/>
        </w:rPr>
        <w:t xml:space="preserve"> срочна</w:t>
      </w:r>
      <w:r w:rsidRPr="005F2F78">
        <w:rPr>
          <w:rFonts w:ascii="Times New Roman" w:hAnsi="Times New Roman"/>
          <w:sz w:val="24"/>
          <w:szCs w:val="24"/>
        </w:rPr>
        <w:t xml:space="preserve"> пенсия  – при смърт на осигуреното лице или на лице, което получава пенсия;</w:t>
      </w:r>
    </w:p>
    <w:p w14:paraId="7347AFC9" w14:textId="5B7C9FD3" w:rsidR="00464A6E" w:rsidRPr="000169EA" w:rsidRDefault="00921D5D" w:rsidP="000169EA">
      <w:pPr>
        <w:pStyle w:val="LO-Normal"/>
        <w:widowControl w:val="0"/>
        <w:numPr>
          <w:ilvl w:val="0"/>
          <w:numId w:val="4"/>
        </w:numPr>
        <w:autoSpaceDE w:val="0"/>
        <w:spacing w:after="0" w:line="240" w:lineRule="auto"/>
        <w:jc w:val="both"/>
      </w:pPr>
      <w:r w:rsidRPr="000169EA">
        <w:rPr>
          <w:rFonts w:ascii="Times New Roman" w:hAnsi="Times New Roman"/>
          <w:sz w:val="24"/>
          <w:szCs w:val="24"/>
        </w:rPr>
        <w:t xml:space="preserve"> еднократно или разсрочено изплащане на средства на наследниците на починало осигурено лице или на пенсионер.</w:t>
      </w:r>
    </w:p>
    <w:p w14:paraId="2C611A31" w14:textId="77777777" w:rsidR="000169EA" w:rsidRPr="000169EA" w:rsidRDefault="000169EA" w:rsidP="000169EA">
      <w:pPr>
        <w:pStyle w:val="LO-Normal"/>
        <w:widowControl w:val="0"/>
        <w:autoSpaceDE w:val="0"/>
        <w:spacing w:after="0" w:line="240" w:lineRule="auto"/>
        <w:ind w:left="1200"/>
        <w:jc w:val="both"/>
      </w:pPr>
    </w:p>
    <w:p w14:paraId="202FB6CB"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 Основни данни за инвестициите на пенсионния фонд</w:t>
      </w:r>
    </w:p>
    <w:p w14:paraId="61845E7D"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2.1. Инвестиционни цели на фонда:</w:t>
      </w:r>
    </w:p>
    <w:p w14:paraId="5BEC21E2" w14:textId="77777777" w:rsidR="000169EA" w:rsidRPr="000169EA" w:rsidRDefault="000169EA">
      <w:pPr>
        <w:pStyle w:val="LO-Normal"/>
        <w:widowControl w:val="0"/>
        <w:autoSpaceDE w:val="0"/>
        <w:spacing w:after="0" w:line="240" w:lineRule="auto"/>
        <w:ind w:firstLine="480"/>
        <w:jc w:val="both"/>
        <w:rPr>
          <w:b/>
          <w:bCs/>
        </w:rPr>
      </w:pPr>
    </w:p>
    <w:p w14:paraId="2E29CBF6" w14:textId="77777777" w:rsidR="00464A6E" w:rsidRDefault="00921D5D" w:rsidP="00552F1F">
      <w:pPr>
        <w:pStyle w:val="LO-Normal"/>
        <w:widowControl w:val="0"/>
        <w:autoSpaceDE w:val="0"/>
        <w:spacing w:after="0" w:line="240" w:lineRule="auto"/>
        <w:ind w:firstLine="426"/>
        <w:jc w:val="both"/>
        <w:rPr>
          <w:rFonts w:ascii="Times New Roman" w:hAnsi="Times New Roman"/>
          <w:sz w:val="24"/>
          <w:szCs w:val="24"/>
        </w:rPr>
      </w:pPr>
      <w:r>
        <w:rPr>
          <w:rFonts w:ascii="Times New Roman" w:hAnsi="Times New Roman"/>
          <w:sz w:val="24"/>
          <w:szCs w:val="24"/>
        </w:rPr>
        <w:t>1. Формиране на оптимално структуриран инвестиционен портфейл – балансирана структура с преобладаващо участие на дългови инструменти и ценни книжа, търгувани на регулирани пазари.</w:t>
      </w:r>
    </w:p>
    <w:p w14:paraId="14825B16" w14:textId="57D0138D" w:rsidR="00464A6E" w:rsidRDefault="00552F1F" w:rsidP="00552F1F">
      <w:pPr>
        <w:pStyle w:val="LO-Normal"/>
        <w:widowControl w:val="0"/>
        <w:shd w:val="clear" w:color="auto" w:fill="FFFFFF"/>
        <w:tabs>
          <w:tab w:val="left" w:pos="226"/>
        </w:tabs>
        <w:autoSpaceDE w:val="0"/>
        <w:spacing w:after="0" w:line="240" w:lineRule="auto"/>
        <w:ind w:left="202" w:firstLine="224"/>
        <w:rPr>
          <w:rFonts w:ascii="Times New Roman" w:hAnsi="Times New Roman"/>
          <w:sz w:val="24"/>
          <w:szCs w:val="24"/>
        </w:rPr>
      </w:pPr>
      <w:r>
        <w:rPr>
          <w:rFonts w:ascii="Times New Roman" w:hAnsi="Times New Roman"/>
          <w:sz w:val="24"/>
          <w:szCs w:val="24"/>
        </w:rPr>
        <w:t xml:space="preserve">2. </w:t>
      </w:r>
      <w:r w:rsidR="00921D5D">
        <w:rPr>
          <w:rFonts w:ascii="Times New Roman" w:hAnsi="Times New Roman"/>
          <w:sz w:val="24"/>
          <w:szCs w:val="24"/>
        </w:rPr>
        <w:t>Активно управление на портфейла;</w:t>
      </w:r>
    </w:p>
    <w:p w14:paraId="67ED0FBD" w14:textId="1B943750" w:rsidR="00464A6E" w:rsidRDefault="00552F1F" w:rsidP="00552F1F">
      <w:pPr>
        <w:pStyle w:val="LO-Normal"/>
        <w:widowControl w:val="0"/>
        <w:shd w:val="clear" w:color="auto" w:fill="FFFFFF"/>
        <w:autoSpaceDE w:val="0"/>
        <w:spacing w:after="0" w:line="240" w:lineRule="auto"/>
        <w:ind w:firstLine="426"/>
        <w:rPr>
          <w:rFonts w:ascii="Times New Roman" w:hAnsi="Times New Roman"/>
          <w:sz w:val="24"/>
          <w:szCs w:val="24"/>
        </w:rPr>
      </w:pPr>
      <w:r>
        <w:rPr>
          <w:rFonts w:ascii="Times New Roman" w:hAnsi="Times New Roman"/>
          <w:sz w:val="24"/>
          <w:szCs w:val="24"/>
        </w:rPr>
        <w:t xml:space="preserve">3. </w:t>
      </w:r>
      <w:r w:rsidR="00921D5D">
        <w:rPr>
          <w:rFonts w:ascii="Times New Roman" w:hAnsi="Times New Roman"/>
          <w:sz w:val="24"/>
          <w:szCs w:val="24"/>
        </w:rPr>
        <w:t>Постигане на реален растеж на стойността на активите и максимизиране на тяхната възвращаемост;</w:t>
      </w:r>
    </w:p>
    <w:p w14:paraId="0C81C112" w14:textId="116EA4E1" w:rsidR="00464A6E" w:rsidRDefault="00552F1F" w:rsidP="00552F1F">
      <w:pPr>
        <w:pStyle w:val="LO-Normal"/>
        <w:widowControl w:val="0"/>
        <w:shd w:val="clear" w:color="auto" w:fill="FFFFFF"/>
        <w:tabs>
          <w:tab w:val="left" w:pos="226"/>
        </w:tabs>
        <w:autoSpaceDE w:val="0"/>
        <w:spacing w:after="0" w:line="240" w:lineRule="auto"/>
        <w:ind w:right="1258" w:firstLine="426"/>
        <w:jc w:val="both"/>
        <w:rPr>
          <w:rFonts w:ascii="Times New Roman" w:hAnsi="Times New Roman"/>
          <w:sz w:val="24"/>
          <w:szCs w:val="24"/>
        </w:rPr>
      </w:pPr>
      <w:r>
        <w:rPr>
          <w:rFonts w:ascii="Times New Roman" w:hAnsi="Times New Roman"/>
          <w:sz w:val="24"/>
          <w:szCs w:val="24"/>
        </w:rPr>
        <w:t xml:space="preserve">4. </w:t>
      </w:r>
      <w:r w:rsidR="00921D5D">
        <w:rPr>
          <w:rFonts w:ascii="Times New Roman" w:hAnsi="Times New Roman"/>
          <w:sz w:val="24"/>
          <w:szCs w:val="24"/>
        </w:rPr>
        <w:t>Получаване на доходност, по-висока от средната доходност, постигната от доброволните пенсионни фондове (индекс VOLIDEX);</w:t>
      </w:r>
    </w:p>
    <w:p w14:paraId="68D8893B" w14:textId="64FFB56E" w:rsidR="00464A6E" w:rsidRDefault="00552F1F" w:rsidP="00552F1F">
      <w:pPr>
        <w:pStyle w:val="LO-Normal"/>
        <w:widowControl w:val="0"/>
        <w:shd w:val="clear" w:color="auto" w:fill="FFFFFF"/>
        <w:tabs>
          <w:tab w:val="left" w:pos="226"/>
        </w:tabs>
        <w:autoSpaceDE w:val="0"/>
        <w:spacing w:after="0" w:line="240" w:lineRule="auto"/>
        <w:ind w:right="83" w:firstLine="426"/>
        <w:jc w:val="both"/>
        <w:rPr>
          <w:rFonts w:ascii="Times New Roman" w:hAnsi="Times New Roman"/>
          <w:sz w:val="24"/>
          <w:szCs w:val="24"/>
        </w:rPr>
      </w:pPr>
      <w:r>
        <w:rPr>
          <w:rFonts w:ascii="Times New Roman" w:hAnsi="Times New Roman"/>
          <w:sz w:val="24"/>
          <w:szCs w:val="24"/>
        </w:rPr>
        <w:t xml:space="preserve">5. </w:t>
      </w:r>
      <w:r w:rsidR="00921D5D">
        <w:rPr>
          <w:rFonts w:ascii="Times New Roman" w:hAnsi="Times New Roman"/>
          <w:sz w:val="24"/>
          <w:szCs w:val="24"/>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56159764" w14:textId="1D4852B3" w:rsidR="00464A6E" w:rsidRDefault="00921D5D" w:rsidP="00552F1F">
      <w:pPr>
        <w:pStyle w:val="LO-Normal"/>
        <w:widowControl w:val="0"/>
        <w:shd w:val="clear" w:color="auto" w:fill="FFFFFF"/>
        <w:tabs>
          <w:tab w:val="left" w:pos="9214"/>
        </w:tabs>
        <w:autoSpaceDE w:val="0"/>
        <w:spacing w:after="0" w:line="240" w:lineRule="auto"/>
        <w:ind w:right="83" w:firstLine="426"/>
        <w:jc w:val="both"/>
        <w:rPr>
          <w:rFonts w:ascii="Times New Roman" w:hAnsi="Times New Roman"/>
          <w:sz w:val="24"/>
          <w:szCs w:val="24"/>
        </w:rPr>
      </w:pPr>
      <w:r>
        <w:rPr>
          <w:rFonts w:ascii="Times New Roman" w:hAnsi="Times New Roman"/>
          <w:sz w:val="24"/>
          <w:szCs w:val="24"/>
        </w:rPr>
        <w:t>6</w:t>
      </w:r>
      <w:r w:rsidR="00682649">
        <w:rPr>
          <w:rFonts w:ascii="Times New Roman" w:hAnsi="Times New Roman"/>
          <w:sz w:val="24"/>
          <w:szCs w:val="24"/>
        </w:rPr>
        <w:t>.</w:t>
      </w:r>
      <w:r>
        <w:rPr>
          <w:rFonts w:ascii="Times New Roman" w:hAnsi="Times New Roman"/>
          <w:sz w:val="24"/>
          <w:szCs w:val="24"/>
        </w:rPr>
        <w:t xml:space="preserve"> Поддържане на текуща ликвидност – чрез инвестиции в краткосрочни финансови инструменти и банкови депозити, съобразени със срочността на </w:t>
      </w:r>
      <w:r>
        <w:rPr>
          <w:rFonts w:ascii="Times New Roman" w:hAnsi="Times New Roman"/>
          <w:sz w:val="24"/>
          <w:szCs w:val="24"/>
        </w:rPr>
        <w:lastRenderedPageBreak/>
        <w:t>задълженията на ФОНДА.</w:t>
      </w:r>
    </w:p>
    <w:p w14:paraId="155DB3F1" w14:textId="03732AE2" w:rsidR="00464A6E" w:rsidRDefault="00552F1F" w:rsidP="00552F1F">
      <w:pPr>
        <w:pStyle w:val="LO-Normal"/>
        <w:widowControl w:val="0"/>
        <w:shd w:val="clear" w:color="auto" w:fill="FFFFFF"/>
        <w:tabs>
          <w:tab w:val="left" w:pos="283"/>
        </w:tabs>
        <w:autoSpaceDE w:val="0"/>
        <w:spacing w:after="0" w:line="240" w:lineRule="auto"/>
        <w:ind w:right="141" w:firstLine="426"/>
        <w:jc w:val="both"/>
        <w:rPr>
          <w:rFonts w:ascii="Times New Roman" w:hAnsi="Times New Roman"/>
          <w:sz w:val="24"/>
          <w:szCs w:val="24"/>
        </w:rPr>
      </w:pPr>
      <w:r>
        <w:rPr>
          <w:rFonts w:ascii="Times New Roman" w:hAnsi="Times New Roman"/>
          <w:sz w:val="24"/>
          <w:szCs w:val="24"/>
        </w:rPr>
        <w:t xml:space="preserve">7. </w:t>
      </w:r>
      <w:r w:rsidR="00921D5D">
        <w:rPr>
          <w:rFonts w:ascii="Times New Roman" w:hAnsi="Times New Roman"/>
          <w:sz w:val="24"/>
          <w:szCs w:val="24"/>
        </w:rPr>
        <w:t>Осъществяване на текущ контрол на постъпилите средства във ФОНДА</w:t>
      </w:r>
      <w:r w:rsidR="000169EA">
        <w:rPr>
          <w:rFonts w:ascii="Times New Roman" w:hAnsi="Times New Roman"/>
          <w:sz w:val="24"/>
          <w:szCs w:val="24"/>
        </w:rPr>
        <w:t xml:space="preserve"> </w:t>
      </w:r>
      <w:r w:rsidR="00921D5D">
        <w:rPr>
          <w:rFonts w:ascii="Times New Roman" w:hAnsi="Times New Roman"/>
          <w:sz w:val="24"/>
          <w:szCs w:val="24"/>
        </w:rPr>
        <w:t>и навременното им инвестиране във финансови инструменти.</w:t>
      </w:r>
    </w:p>
    <w:p w14:paraId="46CCEB82" w14:textId="5FEF9DA1" w:rsidR="00464A6E" w:rsidRDefault="00552F1F" w:rsidP="00552F1F">
      <w:pPr>
        <w:pStyle w:val="LO-Normal"/>
        <w:widowControl w:val="0"/>
        <w:shd w:val="clear" w:color="auto" w:fill="FFFFFF"/>
        <w:tabs>
          <w:tab w:val="left" w:pos="283"/>
        </w:tabs>
        <w:autoSpaceDE w:val="0"/>
        <w:spacing w:after="0" w:line="240" w:lineRule="auto"/>
        <w:ind w:right="141" w:firstLine="426"/>
        <w:jc w:val="both"/>
        <w:rPr>
          <w:rFonts w:ascii="Times New Roman" w:hAnsi="Times New Roman"/>
          <w:sz w:val="24"/>
          <w:szCs w:val="24"/>
        </w:rPr>
      </w:pPr>
      <w:r>
        <w:rPr>
          <w:rFonts w:ascii="Times New Roman" w:hAnsi="Times New Roman"/>
          <w:sz w:val="24"/>
          <w:szCs w:val="24"/>
        </w:rPr>
        <w:t xml:space="preserve">8. </w:t>
      </w:r>
      <w:r w:rsidR="00921D5D">
        <w:rPr>
          <w:rFonts w:ascii="Times New Roman" w:hAnsi="Times New Roman"/>
          <w:sz w:val="24"/>
          <w:szCs w:val="24"/>
        </w:rPr>
        <w:t>Спазване на принципа на строгост относно съществуващите нормативни изисквания за лимити, ограничения и забрани при инвестициите във финансови инструменти.</w:t>
      </w:r>
    </w:p>
    <w:p w14:paraId="3E73B497"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2.2. Инвестиционни ограничения съгласно инвестиционната политика на фонда</w:t>
      </w:r>
    </w:p>
    <w:tbl>
      <w:tblPr>
        <w:tblW w:w="9795" w:type="dxa"/>
        <w:tblCellMar>
          <w:left w:w="10" w:type="dxa"/>
          <w:right w:w="10" w:type="dxa"/>
        </w:tblCellMar>
        <w:tblLook w:val="0000" w:firstRow="0" w:lastRow="0" w:firstColumn="0" w:lastColumn="0" w:noHBand="0" w:noVBand="0"/>
      </w:tblPr>
      <w:tblGrid>
        <w:gridCol w:w="50"/>
        <w:gridCol w:w="521"/>
        <w:gridCol w:w="4109"/>
        <w:gridCol w:w="4392"/>
        <w:gridCol w:w="723"/>
      </w:tblGrid>
      <w:tr w:rsidR="00464A6E" w14:paraId="4036395A" w14:textId="77777777">
        <w:tc>
          <w:tcPr>
            <w:tcW w:w="50" w:type="dxa"/>
          </w:tcPr>
          <w:p w14:paraId="77E3E0F0"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9745" w:type="dxa"/>
            <w:gridSpan w:val="4"/>
            <w:tcMar>
              <w:top w:w="15" w:type="dxa"/>
              <w:left w:w="15" w:type="dxa"/>
              <w:bottom w:w="15" w:type="dxa"/>
              <w:right w:w="15" w:type="dxa"/>
            </w:tcMar>
            <w:vAlign w:val="center"/>
          </w:tcPr>
          <w:p w14:paraId="7C396074"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r w:rsidR="00464A6E" w14:paraId="0B5E4EDB" w14:textId="77777777">
        <w:trPr>
          <w:trHeight w:hRule="exact" w:val="67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430B3B" w14:textId="77777777" w:rsidR="00464A6E" w:rsidRDefault="00921D5D">
            <w:pPr>
              <w:pStyle w:val="LO-Normal"/>
              <w:shd w:val="clear" w:color="auto" w:fill="FFFFFF"/>
            </w:pPr>
            <w:r>
              <w:rPr>
                <w:rFonts w:ascii="Times New Roman" w:hAnsi="Times New Roman"/>
                <w:color w:val="000000"/>
                <w:sz w:val="24"/>
                <w:szCs w:val="24"/>
              </w:rPr>
              <w:t>№</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12D8F5" w14:textId="77777777" w:rsidR="00464A6E" w:rsidRDefault="00921D5D">
            <w:pPr>
              <w:pStyle w:val="LO-Normal"/>
              <w:shd w:val="clear" w:color="auto" w:fill="FFFFFF"/>
            </w:pPr>
            <w:r>
              <w:rPr>
                <w:rFonts w:ascii="Times New Roman" w:hAnsi="Times New Roman"/>
                <w:color w:val="000000"/>
                <w:sz w:val="24"/>
                <w:szCs w:val="24"/>
              </w:rPr>
              <w:t>Инвестиционни инструменти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F29908" w14:textId="77777777" w:rsidR="00552F1F" w:rsidRDefault="00921D5D" w:rsidP="00552F1F">
            <w:pPr>
              <w:pStyle w:val="LO-Normal"/>
              <w:shd w:val="clear" w:color="auto" w:fill="FFFFFF"/>
              <w:spacing w:after="0"/>
              <w:jc w:val="center"/>
              <w:rPr>
                <w:rFonts w:ascii="Times New Roman" w:hAnsi="Times New Roman"/>
                <w:color w:val="000000"/>
                <w:spacing w:val="-1"/>
                <w:sz w:val="24"/>
                <w:szCs w:val="24"/>
              </w:rPr>
            </w:pPr>
            <w:r>
              <w:rPr>
                <w:rFonts w:ascii="Times New Roman" w:hAnsi="Times New Roman"/>
                <w:color w:val="000000"/>
                <w:spacing w:val="-1"/>
                <w:sz w:val="24"/>
                <w:szCs w:val="24"/>
              </w:rPr>
              <w:t xml:space="preserve">Инвестиционни ограничения </w:t>
            </w:r>
          </w:p>
          <w:p w14:paraId="2C1A1907" w14:textId="33F465D0" w:rsidR="00464A6E" w:rsidRDefault="00921D5D" w:rsidP="00552F1F">
            <w:pPr>
              <w:pStyle w:val="LO-Normal"/>
              <w:shd w:val="clear" w:color="auto" w:fill="FFFFFF"/>
              <w:spacing w:after="0"/>
              <w:jc w:val="center"/>
            </w:pPr>
            <w:r>
              <w:rPr>
                <w:rFonts w:ascii="Times New Roman" w:hAnsi="Times New Roman"/>
                <w:color w:val="000000"/>
                <w:spacing w:val="-1"/>
                <w:sz w:val="24"/>
                <w:szCs w:val="24"/>
              </w:rPr>
              <w:t>( % от активите)</w:t>
            </w:r>
          </w:p>
        </w:tc>
        <w:tc>
          <w:tcPr>
            <w:tcW w:w="723" w:type="dxa"/>
          </w:tcPr>
          <w:p w14:paraId="003EFC36" w14:textId="77777777" w:rsidR="00464A6E" w:rsidRDefault="00464A6E">
            <w:pPr>
              <w:pStyle w:val="LO-Normal"/>
              <w:shd w:val="clear" w:color="auto" w:fill="FFFFFF"/>
              <w:jc w:val="center"/>
            </w:pPr>
          </w:p>
        </w:tc>
      </w:tr>
      <w:tr w:rsidR="00464A6E" w14:paraId="59856B74" w14:textId="77777777">
        <w:trPr>
          <w:trHeight w:hRule="exact" w:val="34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03D39E" w14:textId="77777777" w:rsidR="00464A6E" w:rsidRDefault="00921D5D">
            <w:pPr>
              <w:pStyle w:val="LO-Normal"/>
              <w:shd w:val="clear" w:color="auto" w:fill="FFFFFF"/>
            </w:pPr>
            <w:r>
              <w:rPr>
                <w:rFonts w:ascii="Times New Roman" w:hAnsi="Times New Roman"/>
                <w:color w:val="000000"/>
                <w:sz w:val="24"/>
                <w:szCs w:val="24"/>
              </w:rPr>
              <w:t>1</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DA351E" w14:textId="77777777" w:rsidR="00464A6E" w:rsidRDefault="00921D5D">
            <w:pPr>
              <w:pStyle w:val="LO-Normal"/>
              <w:shd w:val="clear" w:color="auto" w:fill="FFFFFF"/>
            </w:pPr>
            <w:r>
              <w:rPr>
                <w:rFonts w:ascii="Times New Roman" w:hAnsi="Times New Roman"/>
                <w:color w:val="000000"/>
                <w:sz w:val="24"/>
                <w:szCs w:val="24"/>
              </w:rPr>
              <w:t>Дългови ценни книжа</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34C3EC" w14:textId="77777777" w:rsidR="00464A6E" w:rsidRDefault="00921D5D">
            <w:pPr>
              <w:pStyle w:val="LO-Normal"/>
              <w:shd w:val="clear" w:color="auto" w:fill="FFFFFF"/>
              <w:jc w:val="center"/>
            </w:pPr>
            <w:r>
              <w:rPr>
                <w:rFonts w:ascii="Times New Roman" w:hAnsi="Times New Roman"/>
                <w:color w:val="000000"/>
                <w:sz w:val="24"/>
                <w:szCs w:val="24"/>
              </w:rPr>
              <w:t>100</w:t>
            </w:r>
          </w:p>
        </w:tc>
        <w:tc>
          <w:tcPr>
            <w:tcW w:w="723" w:type="dxa"/>
          </w:tcPr>
          <w:p w14:paraId="5A4D10AC" w14:textId="77777777" w:rsidR="00464A6E" w:rsidRDefault="00464A6E">
            <w:pPr>
              <w:pStyle w:val="LO-Normal"/>
              <w:shd w:val="clear" w:color="auto" w:fill="FFFFFF"/>
              <w:jc w:val="center"/>
            </w:pPr>
          </w:p>
        </w:tc>
      </w:tr>
      <w:tr w:rsidR="00464A6E" w14:paraId="45D4E913" w14:textId="77777777">
        <w:trPr>
          <w:trHeight w:hRule="exact" w:val="565"/>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781A3A" w14:textId="77777777" w:rsidR="00464A6E" w:rsidRDefault="00921D5D">
            <w:pPr>
              <w:pStyle w:val="LO-Normal"/>
              <w:shd w:val="clear" w:color="auto" w:fill="FFFFFF"/>
            </w:pPr>
            <w:r>
              <w:rPr>
                <w:rFonts w:ascii="Times New Roman" w:hAnsi="Times New Roman"/>
                <w:color w:val="000000"/>
                <w:sz w:val="24"/>
                <w:szCs w:val="24"/>
              </w:rPr>
              <w:t>2</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932227" w14:textId="77777777" w:rsidR="00464A6E" w:rsidRDefault="00921D5D">
            <w:pPr>
              <w:pStyle w:val="LO-Normal"/>
              <w:shd w:val="clear" w:color="auto" w:fill="FFFFFF"/>
            </w:pPr>
            <w:r>
              <w:rPr>
                <w:rFonts w:ascii="Times New Roman" w:hAnsi="Times New Roman"/>
                <w:color w:val="000000"/>
                <w:spacing w:val="-1"/>
                <w:sz w:val="24"/>
                <w:szCs w:val="24"/>
              </w:rPr>
              <w:t>Дялови ценни книжа (акции, права и дялове)</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791E80A" w14:textId="77777777" w:rsidR="00464A6E" w:rsidRPr="00911787" w:rsidRDefault="00911787">
            <w:pPr>
              <w:pStyle w:val="LO-Normal"/>
              <w:shd w:val="clear" w:color="auto" w:fill="FFFFFF"/>
              <w:jc w:val="center"/>
              <w:rPr>
                <w:lang w:val="en-US"/>
              </w:rPr>
            </w:pPr>
            <w:r>
              <w:rPr>
                <w:rFonts w:ascii="Times New Roman" w:hAnsi="Times New Roman"/>
                <w:color w:val="000000"/>
                <w:sz w:val="24"/>
                <w:szCs w:val="24"/>
                <w:lang w:val="en-US"/>
              </w:rPr>
              <w:t>100</w:t>
            </w:r>
          </w:p>
        </w:tc>
        <w:tc>
          <w:tcPr>
            <w:tcW w:w="723" w:type="dxa"/>
          </w:tcPr>
          <w:p w14:paraId="337FB87A" w14:textId="77777777" w:rsidR="00464A6E" w:rsidRDefault="00464A6E">
            <w:pPr>
              <w:pStyle w:val="LO-Normal"/>
              <w:shd w:val="clear" w:color="auto" w:fill="FFFFFF"/>
              <w:jc w:val="center"/>
            </w:pPr>
          </w:p>
        </w:tc>
      </w:tr>
      <w:tr w:rsidR="00464A6E" w14:paraId="6108124B" w14:textId="77777777">
        <w:trPr>
          <w:trHeight w:hRule="exact" w:val="30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FE660E" w14:textId="77777777" w:rsidR="00464A6E" w:rsidRDefault="00921D5D">
            <w:pPr>
              <w:pStyle w:val="LO-Normal"/>
              <w:shd w:val="clear" w:color="auto" w:fill="FFFFFF"/>
            </w:pPr>
            <w:r>
              <w:rPr>
                <w:rFonts w:ascii="Times New Roman" w:hAnsi="Times New Roman"/>
                <w:color w:val="000000"/>
                <w:sz w:val="24"/>
                <w:szCs w:val="24"/>
              </w:rPr>
              <w:t>3</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9DECFF" w14:textId="77777777" w:rsidR="00464A6E" w:rsidRDefault="00921D5D">
            <w:pPr>
              <w:pStyle w:val="LO-Normal"/>
              <w:shd w:val="clear" w:color="auto" w:fill="FFFFFF"/>
            </w:pPr>
            <w:r>
              <w:rPr>
                <w:rFonts w:ascii="Times New Roman" w:hAnsi="Times New Roman"/>
                <w:color w:val="000000"/>
                <w:sz w:val="24"/>
                <w:szCs w:val="24"/>
              </w:rPr>
              <w:t>Банкови депозити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99B82C" w14:textId="77777777" w:rsidR="00464A6E" w:rsidRPr="00911787" w:rsidRDefault="00911787">
            <w:pPr>
              <w:pStyle w:val="LO-Normal"/>
              <w:shd w:val="clear" w:color="auto" w:fill="FFFFFF"/>
              <w:jc w:val="center"/>
              <w:rPr>
                <w:lang w:val="en-US"/>
              </w:rPr>
            </w:pPr>
            <w:r>
              <w:rPr>
                <w:rFonts w:ascii="Times New Roman" w:hAnsi="Times New Roman"/>
                <w:color w:val="000000"/>
                <w:sz w:val="24"/>
                <w:szCs w:val="24"/>
                <w:lang w:val="en-US"/>
              </w:rPr>
              <w:t>50</w:t>
            </w:r>
          </w:p>
        </w:tc>
        <w:tc>
          <w:tcPr>
            <w:tcW w:w="723" w:type="dxa"/>
          </w:tcPr>
          <w:p w14:paraId="1E3B390B" w14:textId="77777777" w:rsidR="00464A6E" w:rsidRDefault="00464A6E">
            <w:pPr>
              <w:pStyle w:val="LO-Normal"/>
              <w:shd w:val="clear" w:color="auto" w:fill="FFFFFF"/>
              <w:jc w:val="center"/>
            </w:pPr>
          </w:p>
        </w:tc>
      </w:tr>
      <w:tr w:rsidR="00464A6E" w14:paraId="180F8B41" w14:textId="77777777">
        <w:trPr>
          <w:trHeight w:hRule="exact" w:val="31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B2A309" w14:textId="77777777" w:rsidR="00464A6E" w:rsidRDefault="00921D5D">
            <w:pPr>
              <w:pStyle w:val="LO-Normal"/>
              <w:shd w:val="clear" w:color="auto" w:fill="FFFFFF"/>
            </w:pPr>
            <w:r>
              <w:rPr>
                <w:rFonts w:ascii="Times New Roman" w:hAnsi="Times New Roman"/>
                <w:color w:val="000000"/>
                <w:sz w:val="24"/>
                <w:szCs w:val="24"/>
              </w:rPr>
              <w:t>4</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25574E" w14:textId="77777777" w:rsidR="00464A6E" w:rsidRDefault="00921D5D">
            <w:pPr>
              <w:pStyle w:val="LO-Normal"/>
              <w:shd w:val="clear" w:color="auto" w:fill="FFFFFF"/>
            </w:pPr>
            <w:r>
              <w:rPr>
                <w:rFonts w:ascii="Times New Roman" w:hAnsi="Times New Roman"/>
                <w:color w:val="000000"/>
                <w:sz w:val="24"/>
                <w:szCs w:val="24"/>
              </w:rPr>
              <w:t>Инвестиционни имоти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93064E" w14:textId="77777777" w:rsidR="00464A6E" w:rsidRPr="002678E1" w:rsidRDefault="002678E1">
            <w:pPr>
              <w:pStyle w:val="LO-Normal"/>
              <w:shd w:val="clear" w:color="auto" w:fill="FFFFFF"/>
              <w:jc w:val="center"/>
              <w:rPr>
                <w:lang w:val="en-US"/>
              </w:rPr>
            </w:pPr>
            <w:r>
              <w:rPr>
                <w:rFonts w:ascii="Times New Roman" w:hAnsi="Times New Roman"/>
                <w:color w:val="000000"/>
                <w:sz w:val="24"/>
                <w:szCs w:val="24"/>
                <w:lang w:val="en-US"/>
              </w:rPr>
              <w:t>5</w:t>
            </w:r>
          </w:p>
        </w:tc>
        <w:tc>
          <w:tcPr>
            <w:tcW w:w="723" w:type="dxa"/>
          </w:tcPr>
          <w:p w14:paraId="4B65B64D" w14:textId="77777777" w:rsidR="00464A6E" w:rsidRDefault="00464A6E">
            <w:pPr>
              <w:pStyle w:val="LO-Normal"/>
              <w:shd w:val="clear" w:color="auto" w:fill="FFFFFF"/>
              <w:jc w:val="center"/>
            </w:pPr>
          </w:p>
        </w:tc>
      </w:tr>
    </w:tbl>
    <w:p w14:paraId="275E09F1"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5DB02769"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sz w:val="24"/>
          <w:szCs w:val="24"/>
        </w:rPr>
        <w:t xml:space="preserve">  </w:t>
      </w:r>
      <w:r w:rsidRPr="000169EA">
        <w:rPr>
          <w:rFonts w:ascii="Times New Roman" w:hAnsi="Times New Roman"/>
          <w:b/>
          <w:bCs/>
          <w:sz w:val="24"/>
          <w:szCs w:val="24"/>
        </w:rPr>
        <w:t>2.3. Доходност на пенсионния фонд</w:t>
      </w:r>
    </w:p>
    <w:p w14:paraId="49E4BE36" w14:textId="77777777" w:rsidR="00464A6E" w:rsidRDefault="00921D5D">
      <w:pPr>
        <w:pStyle w:val="LO-Normal"/>
        <w:widowControl w:val="0"/>
        <w:autoSpaceDE w:val="0"/>
        <w:spacing w:after="0" w:line="240" w:lineRule="auto"/>
        <w:ind w:firstLine="482"/>
        <w:jc w:val="both"/>
      </w:pPr>
      <w:r>
        <w:rPr>
          <w:rFonts w:ascii="Times New Roman" w:hAnsi="Times New Roman"/>
          <w:sz w:val="24"/>
          <w:szCs w:val="24"/>
        </w:rPr>
        <w:t>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положителен или отрицателен доход от инвестициите на фонда.</w:t>
      </w:r>
    </w:p>
    <w:p w14:paraId="6761FA00"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Постигната номинална доходност за последните 5 години</w:t>
      </w:r>
    </w:p>
    <w:p w14:paraId="34C0D0C8"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64164905" w14:textId="33E1EE96" w:rsidR="00464A6E" w:rsidRDefault="00D81D1D" w:rsidP="00710987">
      <w:pPr>
        <w:pStyle w:val="LO-Normal"/>
        <w:widowControl w:val="0"/>
        <w:autoSpaceDE w:val="0"/>
        <w:spacing w:after="0" w:line="240" w:lineRule="auto"/>
        <w:ind w:firstLine="480"/>
        <w:jc w:val="center"/>
        <w:rPr>
          <w:rFonts w:ascii="Times New Roman" w:hAnsi="Times New Roman"/>
          <w:sz w:val="24"/>
          <w:szCs w:val="24"/>
        </w:rPr>
      </w:pPr>
      <w:r>
        <w:rPr>
          <w:noProof/>
        </w:rPr>
        <w:drawing>
          <wp:inline distT="0" distB="0" distL="0" distR="0" wp14:anchorId="7D8AAF47" wp14:editId="4C733F3D">
            <wp:extent cx="4572000" cy="2743200"/>
            <wp:effectExtent l="0" t="0" r="0" b="0"/>
            <wp:docPr id="1412127348" name="Chart 1">
              <a:extLst xmlns:a="http://schemas.openxmlformats.org/drawingml/2006/main">
                <a:ext uri="{FF2B5EF4-FFF2-40B4-BE49-F238E27FC236}">
                  <a16:creationId xmlns:a16="http://schemas.microsoft.com/office/drawing/2014/main" id="{173FC599-143E-345B-FB4E-A9BACE05C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FC1FC8" w14:textId="54B46B03" w:rsidR="00464A6E" w:rsidRDefault="00464A6E" w:rsidP="002678E1">
      <w:pPr>
        <w:pStyle w:val="LO-Normal"/>
        <w:widowControl w:val="0"/>
        <w:autoSpaceDE w:val="0"/>
        <w:spacing w:after="0" w:line="240" w:lineRule="auto"/>
        <w:ind w:firstLine="480"/>
        <w:rPr>
          <w:rFonts w:ascii="Times New Roman" w:hAnsi="Times New Roman"/>
          <w:sz w:val="24"/>
          <w:szCs w:val="24"/>
        </w:rPr>
      </w:pPr>
    </w:p>
    <w:p w14:paraId="745C02C3" w14:textId="77777777" w:rsidR="00464A6E" w:rsidRDefault="00464A6E">
      <w:pPr>
        <w:pStyle w:val="LO-Normal"/>
        <w:widowControl w:val="0"/>
        <w:autoSpaceDE w:val="0"/>
        <w:spacing w:after="0" w:line="240" w:lineRule="auto"/>
        <w:ind w:firstLine="480"/>
        <w:jc w:val="both"/>
      </w:pPr>
    </w:p>
    <w:tbl>
      <w:tblPr>
        <w:tblW w:w="9750" w:type="dxa"/>
        <w:tblInd w:w="45" w:type="dxa"/>
        <w:tblCellMar>
          <w:top w:w="15" w:type="dxa"/>
          <w:left w:w="15" w:type="dxa"/>
          <w:bottom w:w="15" w:type="dxa"/>
          <w:right w:w="15" w:type="dxa"/>
        </w:tblCellMar>
        <w:tblLook w:val="0000" w:firstRow="0" w:lastRow="0" w:firstColumn="0" w:lastColumn="0" w:noHBand="0" w:noVBand="0"/>
      </w:tblPr>
      <w:tblGrid>
        <w:gridCol w:w="9750"/>
      </w:tblGrid>
      <w:tr w:rsidR="00464A6E" w14:paraId="01FDC7ED" w14:textId="77777777">
        <w:tc>
          <w:tcPr>
            <w:tcW w:w="9750" w:type="dxa"/>
            <w:vAlign w:val="center"/>
          </w:tcPr>
          <w:p w14:paraId="08E2DB25"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bl>
    <w:p w14:paraId="7FEB8C63"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Посочените резултати се отнасят за минал период и не следва да се считат като обещание за бъдещи резултати.</w:t>
      </w:r>
    </w:p>
    <w:p w14:paraId="37E78A1B"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0A75A223"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2.4. Инвестиционен риск на пенсионния фонд</w:t>
      </w:r>
    </w:p>
    <w:p w14:paraId="5DD9DFF8"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Инвестиционният риск се характеризира с променливостта на постигнатата доходност от управлението на активите на фонда. Показател за измерване на </w:t>
      </w:r>
      <w:r>
        <w:rPr>
          <w:rFonts w:ascii="Times New Roman" w:hAnsi="Times New Roman"/>
          <w:sz w:val="24"/>
          <w:szCs w:val="24"/>
        </w:rPr>
        <w:lastRenderedPageBreak/>
        <w:t>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w:t>
      </w:r>
    </w:p>
    <w:p w14:paraId="0A722356" w14:textId="77777777" w:rsidR="002F6E72" w:rsidRDefault="002F6E72">
      <w:pPr>
        <w:pStyle w:val="LO-Normal"/>
        <w:widowControl w:val="0"/>
        <w:autoSpaceDE w:val="0"/>
        <w:spacing w:after="0" w:line="240" w:lineRule="auto"/>
        <w:ind w:firstLine="480"/>
        <w:jc w:val="both"/>
      </w:pPr>
    </w:p>
    <w:p w14:paraId="57C23F7B"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Стандартно отклонение на доходността за последните 5 години</w:t>
      </w:r>
    </w:p>
    <w:p w14:paraId="520A3616" w14:textId="77777777" w:rsidR="002678E1" w:rsidRDefault="002678E1">
      <w:pPr>
        <w:pStyle w:val="LO-Normal"/>
        <w:widowControl w:val="0"/>
        <w:autoSpaceDE w:val="0"/>
        <w:spacing w:after="0" w:line="240" w:lineRule="auto"/>
        <w:ind w:firstLine="480"/>
        <w:jc w:val="both"/>
        <w:rPr>
          <w:rFonts w:ascii="Times New Roman" w:hAnsi="Times New Roman"/>
          <w:sz w:val="24"/>
          <w:szCs w:val="24"/>
        </w:rPr>
      </w:pPr>
    </w:p>
    <w:p w14:paraId="6CC9D31D" w14:textId="772C4FA5" w:rsidR="002F6E72" w:rsidRDefault="00D81D1D" w:rsidP="00D81D1D">
      <w:pPr>
        <w:pStyle w:val="LO-Normal"/>
        <w:widowControl w:val="0"/>
        <w:autoSpaceDE w:val="0"/>
        <w:spacing w:after="0" w:line="240" w:lineRule="auto"/>
        <w:ind w:firstLine="480"/>
        <w:jc w:val="center"/>
        <w:rPr>
          <w:rFonts w:ascii="Times New Roman" w:hAnsi="Times New Roman"/>
          <w:sz w:val="24"/>
          <w:szCs w:val="24"/>
        </w:rPr>
      </w:pPr>
      <w:r>
        <w:rPr>
          <w:noProof/>
        </w:rPr>
        <w:drawing>
          <wp:inline distT="0" distB="0" distL="0" distR="0" wp14:anchorId="79F86439" wp14:editId="4929E581">
            <wp:extent cx="4572000" cy="2743200"/>
            <wp:effectExtent l="0" t="0" r="0" b="0"/>
            <wp:docPr id="800770780" name="Chart 1">
              <a:extLst xmlns:a="http://schemas.openxmlformats.org/drawingml/2006/main">
                <a:ext uri="{FF2B5EF4-FFF2-40B4-BE49-F238E27FC236}">
                  <a16:creationId xmlns:a16="http://schemas.microsoft.com/office/drawing/2014/main" id="{F339004D-1D6B-30E8-C9D9-9F8A68D11C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9750" w:type="dxa"/>
        <w:tblCellMar>
          <w:top w:w="15" w:type="dxa"/>
          <w:left w:w="15" w:type="dxa"/>
          <w:bottom w:w="15" w:type="dxa"/>
          <w:right w:w="15" w:type="dxa"/>
        </w:tblCellMar>
        <w:tblLook w:val="0000" w:firstRow="0" w:lastRow="0" w:firstColumn="0" w:lastColumn="0" w:noHBand="0" w:noVBand="0"/>
      </w:tblPr>
      <w:tblGrid>
        <w:gridCol w:w="9750"/>
      </w:tblGrid>
      <w:tr w:rsidR="00464A6E" w14:paraId="5ADAF1F5" w14:textId="77777777">
        <w:tc>
          <w:tcPr>
            <w:tcW w:w="9750" w:type="dxa"/>
            <w:vAlign w:val="center"/>
          </w:tcPr>
          <w:p w14:paraId="15B4F9AC" w14:textId="1A36BC2B" w:rsidR="00464A6E" w:rsidRDefault="00464A6E" w:rsidP="002678E1">
            <w:pPr>
              <w:pStyle w:val="LO-Normal"/>
              <w:widowControl w:val="0"/>
              <w:autoSpaceDE w:val="0"/>
              <w:spacing w:after="0" w:line="240" w:lineRule="auto"/>
              <w:ind w:firstLine="480"/>
            </w:pPr>
          </w:p>
        </w:tc>
      </w:tr>
    </w:tbl>
    <w:p w14:paraId="5618064B" w14:textId="0739E82E" w:rsidR="002678E1"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p>
    <w:p w14:paraId="72B64B00"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Посочените резултати се отнасят за минал период и не следва да се считат като обещание за бъдещи резултати.</w:t>
      </w:r>
    </w:p>
    <w:p w14:paraId="56684472"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офиса на дружеството и на неговата страница в интернет</w:t>
      </w:r>
      <w:r w:rsidRPr="00D81D1D">
        <w:rPr>
          <w:rFonts w:ascii="Times New Roman" w:hAnsi="Times New Roman"/>
          <w:sz w:val="24"/>
          <w:szCs w:val="24"/>
          <w:lang w:val="ru-RU"/>
        </w:rPr>
        <w:t xml:space="preserve"> </w:t>
      </w:r>
      <w:hyperlink r:id="rId10" w:tgtFrame="_top">
        <w:r>
          <w:rPr>
            <w:rStyle w:val="Hyperlink"/>
            <w:rFonts w:ascii="Times New Roman" w:hAnsi="Times New Roman"/>
            <w:sz w:val="24"/>
            <w:szCs w:val="24"/>
            <w:lang w:val="en-US"/>
          </w:rPr>
          <w:t>http</w:t>
        </w:r>
        <w:r w:rsidRPr="00D81D1D">
          <w:rPr>
            <w:rStyle w:val="Hyperlink"/>
            <w:rFonts w:ascii="Times New Roman" w:hAnsi="Times New Roman"/>
            <w:sz w:val="24"/>
            <w:szCs w:val="24"/>
            <w:lang w:val="ru-RU"/>
          </w:rPr>
          <w:t>://</w:t>
        </w:r>
        <w:r>
          <w:rPr>
            <w:rStyle w:val="Hyperlink"/>
            <w:rFonts w:ascii="Times New Roman" w:hAnsi="Times New Roman"/>
            <w:sz w:val="24"/>
            <w:szCs w:val="24"/>
            <w:lang w:val="en-US"/>
          </w:rPr>
          <w:t>www</w:t>
        </w:r>
        <w:r w:rsidRPr="00D81D1D">
          <w:rPr>
            <w:rStyle w:val="Hyperlink"/>
            <w:rFonts w:ascii="Times New Roman" w:hAnsi="Times New Roman"/>
            <w:sz w:val="24"/>
            <w:szCs w:val="24"/>
            <w:lang w:val="ru-RU"/>
          </w:rPr>
          <w:t>.</w:t>
        </w:r>
        <w:r>
          <w:rPr>
            <w:rStyle w:val="Hyperlink"/>
            <w:rFonts w:ascii="Times New Roman" w:hAnsi="Times New Roman"/>
            <w:sz w:val="24"/>
            <w:szCs w:val="24"/>
            <w:lang w:val="en-US"/>
          </w:rPr>
          <w:t>pod</w:t>
        </w:r>
        <w:r w:rsidRPr="00D81D1D">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budeshte</w:t>
        </w:r>
        <w:proofErr w:type="spellEnd"/>
        <w:r w:rsidRPr="00D81D1D">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bg</w:t>
        </w:r>
        <w:proofErr w:type="spellEnd"/>
      </w:hyperlink>
    </w:p>
    <w:p w14:paraId="7916B695"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Допълнителна информация за доходността и стандартното отклонение на всички пенсионни фондове можете да намерите на сайта на КФН </w:t>
      </w:r>
      <w:hyperlink r:id="rId11" w:tgtFrame="_top">
        <w:r>
          <w:rPr>
            <w:rStyle w:val="Hyperlink"/>
            <w:rFonts w:ascii="Times New Roman" w:hAnsi="Times New Roman"/>
            <w:sz w:val="24"/>
            <w:szCs w:val="24"/>
          </w:rPr>
          <w:t>http://www.fsc.bg</w:t>
        </w:r>
      </w:hyperlink>
    </w:p>
    <w:p w14:paraId="776764EA"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До 10-о число на месеца, следващ всяко календарно тримесечие, ПОД публикува</w:t>
      </w:r>
      <w:r w:rsidRPr="00D81D1D">
        <w:rPr>
          <w:rFonts w:ascii="Times New Roman" w:hAnsi="Times New Roman"/>
          <w:sz w:val="24"/>
          <w:szCs w:val="24"/>
          <w:lang w:val="ru-RU"/>
        </w:rPr>
        <w:t xml:space="preserve"> </w:t>
      </w:r>
      <w:r>
        <w:rPr>
          <w:rFonts w:ascii="Times New Roman" w:hAnsi="Times New Roman"/>
          <w:sz w:val="24"/>
          <w:szCs w:val="24"/>
        </w:rPr>
        <w:t>на своята страница в интернет информация за обема и структурата на инвестициите по видове активи и емитенти на ценни книжа за управлявания от него ДПФ.</w:t>
      </w:r>
    </w:p>
    <w:p w14:paraId="10871C41" w14:textId="77777777" w:rsidR="005F2F78" w:rsidRDefault="005F2F78">
      <w:pPr>
        <w:pStyle w:val="LO-Normal"/>
        <w:widowControl w:val="0"/>
        <w:autoSpaceDE w:val="0"/>
        <w:spacing w:after="0" w:line="240" w:lineRule="auto"/>
        <w:ind w:firstLine="480"/>
        <w:jc w:val="both"/>
        <w:rPr>
          <w:rFonts w:ascii="Times New Roman" w:hAnsi="Times New Roman"/>
          <w:b/>
          <w:bCs/>
          <w:sz w:val="24"/>
          <w:szCs w:val="24"/>
        </w:rPr>
      </w:pPr>
    </w:p>
    <w:p w14:paraId="65AA026C" w14:textId="77777777" w:rsidR="005F2F78" w:rsidRDefault="005F2F78">
      <w:pPr>
        <w:pStyle w:val="LO-Normal"/>
        <w:widowControl w:val="0"/>
        <w:autoSpaceDE w:val="0"/>
        <w:spacing w:after="0" w:line="240" w:lineRule="auto"/>
        <w:ind w:firstLine="480"/>
        <w:jc w:val="both"/>
        <w:rPr>
          <w:rFonts w:ascii="Times New Roman" w:hAnsi="Times New Roman"/>
          <w:b/>
          <w:bCs/>
          <w:sz w:val="24"/>
          <w:szCs w:val="24"/>
        </w:rPr>
      </w:pPr>
    </w:p>
    <w:p w14:paraId="54976FB3" w14:textId="2A53A33C" w:rsidR="00464A6E"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3. Такси и удръжки</w:t>
      </w:r>
    </w:p>
    <w:p w14:paraId="7B22DD45" w14:textId="77777777" w:rsidR="00552F1F" w:rsidRPr="000169EA" w:rsidRDefault="00552F1F">
      <w:pPr>
        <w:pStyle w:val="LO-Normal"/>
        <w:widowControl w:val="0"/>
        <w:autoSpaceDE w:val="0"/>
        <w:spacing w:after="0" w:line="240" w:lineRule="auto"/>
        <w:ind w:firstLine="480"/>
        <w:jc w:val="both"/>
        <w:rPr>
          <w:rFonts w:ascii="Times New Roman" w:hAnsi="Times New Roman"/>
          <w:b/>
          <w:bCs/>
          <w:sz w:val="24"/>
          <w:szCs w:val="24"/>
        </w:rPr>
      </w:pPr>
    </w:p>
    <w:p w14:paraId="50A5084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При управлението на фонда „ПОД-Бъдеще“ АД събира следните такси и удръжки:</w:t>
      </w:r>
    </w:p>
    <w:p w14:paraId="3E3510BC"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tbl>
      <w:tblPr>
        <w:tblW w:w="9004" w:type="dxa"/>
        <w:tblLayout w:type="fixed"/>
        <w:tblCellMar>
          <w:left w:w="10" w:type="dxa"/>
          <w:right w:w="10" w:type="dxa"/>
        </w:tblCellMar>
        <w:tblLook w:val="0000" w:firstRow="0" w:lastRow="0" w:firstColumn="0" w:lastColumn="0" w:noHBand="0" w:noVBand="0"/>
      </w:tblPr>
      <w:tblGrid>
        <w:gridCol w:w="2689"/>
        <w:gridCol w:w="6315"/>
      </w:tblGrid>
      <w:tr w:rsidR="00552F1F" w:rsidRPr="002F4C0E" w14:paraId="11BE0EE0"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A558FF" w14:textId="77777777" w:rsidR="00552F1F" w:rsidRPr="002F4C0E" w:rsidRDefault="00552F1F" w:rsidP="00203A79">
            <w:pPr>
              <w:shd w:val="clear" w:color="auto" w:fill="FFFFFF"/>
              <w:rPr>
                <w:sz w:val="20"/>
                <w:szCs w:val="20"/>
              </w:rPr>
            </w:pPr>
            <w:r w:rsidRPr="002F4C0E">
              <w:rPr>
                <w:rFonts w:ascii="Times New Roman" w:hAnsi="Times New Roman"/>
                <w:color w:val="000000"/>
                <w:spacing w:val="-1"/>
                <w:sz w:val="20"/>
                <w:szCs w:val="20"/>
              </w:rPr>
              <w:t>Еднократна встъпителна такса за откриване на индивидуална партида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5402EE" w14:textId="77777777" w:rsidR="00552F1F" w:rsidRPr="002F4C0E" w:rsidRDefault="00552F1F" w:rsidP="00203A79">
            <w:pPr>
              <w:shd w:val="clear" w:color="auto" w:fill="FFFFFF"/>
              <w:ind w:left="5"/>
              <w:jc w:val="both"/>
              <w:rPr>
                <w:rFonts w:ascii="Times New Roman" w:hAnsi="Times New Roman"/>
                <w:sz w:val="20"/>
                <w:szCs w:val="20"/>
              </w:rPr>
            </w:pPr>
            <w:r w:rsidRPr="002F4C0E">
              <w:rPr>
                <w:rFonts w:ascii="Times New Roman" w:hAnsi="Times New Roman"/>
                <w:sz w:val="20"/>
                <w:szCs w:val="20"/>
              </w:rPr>
              <w:t>а)</w:t>
            </w:r>
            <w:r w:rsidRPr="002F4C0E">
              <w:rPr>
                <w:rFonts w:ascii="Arial" w:hAnsi="Arial" w:cs="Arial"/>
                <w:sz w:val="20"/>
                <w:szCs w:val="20"/>
              </w:rPr>
              <w:t xml:space="preserve"> </w:t>
            </w:r>
            <w:r w:rsidRPr="002F4C0E">
              <w:rPr>
                <w:rFonts w:ascii="Times New Roman" w:hAnsi="Times New Roman"/>
                <w:sz w:val="20"/>
                <w:szCs w:val="20"/>
              </w:rPr>
              <w:t>3.00 (три) евро за договор за доброволно пенсионно осигуряване от осигурител, при който броят на осигурените лица е до 500 лица включително;</w:t>
            </w:r>
          </w:p>
          <w:p w14:paraId="43014B90" w14:textId="77777777" w:rsidR="00552F1F" w:rsidRPr="002F4C0E" w:rsidRDefault="00552F1F" w:rsidP="00203A79">
            <w:pPr>
              <w:shd w:val="clear" w:color="auto" w:fill="FFFFFF"/>
              <w:ind w:left="5"/>
              <w:jc w:val="both"/>
              <w:rPr>
                <w:rFonts w:ascii="Times New Roman" w:hAnsi="Times New Roman"/>
                <w:sz w:val="20"/>
                <w:szCs w:val="20"/>
              </w:rPr>
            </w:pPr>
            <w:r w:rsidRPr="002F4C0E">
              <w:rPr>
                <w:rFonts w:ascii="Times New Roman" w:hAnsi="Times New Roman"/>
                <w:sz w:val="20"/>
                <w:szCs w:val="20"/>
              </w:rPr>
              <w:t>б) 2.00 (две) евро за договор за доброволно пенсионно осигуряване от осигурител, при който броят на осигурените лица е над 500 лица;</w:t>
            </w:r>
          </w:p>
          <w:p w14:paraId="23BCAAC2" w14:textId="77777777" w:rsidR="00552F1F" w:rsidRPr="002F4C0E" w:rsidRDefault="00552F1F" w:rsidP="00203A79">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в) еднократна встъпителна такса не се събира за лица, които към момента на сключване на договора за доброволно пенсионно осигуряване имат натрупани средства по партидата си чрез друг договор за доброволно пенсионно осигуряване във Фонда;</w:t>
            </w:r>
          </w:p>
          <w:p w14:paraId="17EF86FB" w14:textId="77777777" w:rsidR="00552F1F" w:rsidRPr="002F4C0E" w:rsidRDefault="00552F1F" w:rsidP="00203A79">
            <w:pPr>
              <w:pStyle w:val="BodyTextIndent"/>
              <w:ind w:right="48" w:firstLine="0"/>
              <w:rPr>
                <w:rFonts w:ascii="Times New Roman" w:hAnsi="Times New Roman"/>
                <w:sz w:val="20"/>
                <w:lang w:val="bg-BG" w:eastAsia="bg-BG"/>
              </w:rPr>
            </w:pPr>
          </w:p>
          <w:p w14:paraId="5B1A0EFE" w14:textId="77777777" w:rsidR="00552F1F" w:rsidRPr="002F4C0E" w:rsidRDefault="00552F1F" w:rsidP="00203A79">
            <w:pPr>
              <w:pStyle w:val="BodyTextIndent"/>
              <w:ind w:right="48" w:firstLine="0"/>
              <w:rPr>
                <w:rFonts w:ascii="Times New Roman" w:hAnsi="Times New Roman"/>
                <w:sz w:val="20"/>
              </w:rPr>
            </w:pPr>
            <w:r w:rsidRPr="002F4C0E">
              <w:rPr>
                <w:rFonts w:ascii="Times New Roman" w:hAnsi="Times New Roman"/>
                <w:sz w:val="20"/>
                <w:lang w:val="bg-BG" w:eastAsia="bg-BG"/>
              </w:rPr>
              <w:t>г) таксата не се събира и за лица, които се прехвърлят от друг доброволен пенсионен фонд, управляван от друго пенсионноосигурително дружество.</w:t>
            </w:r>
          </w:p>
        </w:tc>
      </w:tr>
      <w:tr w:rsidR="00552F1F" w:rsidRPr="002F4C0E" w14:paraId="27A5597A"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4D70BB" w14:textId="77777777" w:rsidR="00552F1F" w:rsidRPr="002F4C0E" w:rsidRDefault="00552F1F" w:rsidP="00203A79">
            <w:pPr>
              <w:shd w:val="clear" w:color="auto" w:fill="FFFFFF"/>
              <w:rPr>
                <w:rFonts w:ascii="Times New Roman" w:hAnsi="Times New Roman"/>
                <w:color w:val="000000"/>
                <w:spacing w:val="-1"/>
                <w:sz w:val="20"/>
                <w:szCs w:val="20"/>
              </w:rPr>
            </w:pPr>
            <w:r w:rsidRPr="002F4C0E">
              <w:rPr>
                <w:rFonts w:ascii="Times New Roman" w:hAnsi="Times New Roman"/>
                <w:color w:val="000000"/>
                <w:sz w:val="20"/>
                <w:szCs w:val="20"/>
              </w:rPr>
              <w:lastRenderedPageBreak/>
              <w:t>Удръжка от всяка осигурителна вноска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CEA891C" w14:textId="77777777" w:rsidR="00552F1F" w:rsidRPr="002F4C0E" w:rsidRDefault="00552F1F" w:rsidP="00203A79">
            <w:pPr>
              <w:pStyle w:val="BodyTextIndent"/>
              <w:ind w:right="48" w:firstLine="0"/>
              <w:rPr>
                <w:rFonts w:ascii="Times New Roman" w:hAnsi="Times New Roman"/>
                <w:b/>
                <w:bCs/>
                <w:sz w:val="20"/>
                <w:lang w:val="bg-BG" w:eastAsia="bg-BG"/>
              </w:rPr>
            </w:pPr>
            <w:r w:rsidRPr="002F4C0E">
              <w:rPr>
                <w:rFonts w:ascii="Times New Roman" w:hAnsi="Times New Roman"/>
                <w:b/>
                <w:bCs/>
                <w:sz w:val="20"/>
                <w:lang w:val="bg-BG" w:eastAsia="bg-BG"/>
              </w:rPr>
              <w:t xml:space="preserve">1.Удръжка като процент от всяка месечна осигурителна вноска, която се използва за администриране и управление на ФОНДА в размер на: </w:t>
            </w:r>
          </w:p>
          <w:p w14:paraId="1C9A9C1D" w14:textId="77777777" w:rsidR="00552F1F" w:rsidRPr="002F4C0E" w:rsidRDefault="00552F1F" w:rsidP="00203A79">
            <w:pPr>
              <w:pStyle w:val="BodyTextIndent"/>
              <w:ind w:right="48" w:firstLine="0"/>
              <w:rPr>
                <w:rFonts w:ascii="Times New Roman" w:hAnsi="Times New Roman"/>
                <w:sz w:val="20"/>
                <w:lang w:val="bg-BG" w:eastAsia="bg-BG"/>
              </w:rPr>
            </w:pPr>
          </w:p>
          <w:p w14:paraId="7263CD10" w14:textId="77777777" w:rsidR="00552F1F" w:rsidRPr="002F4C0E" w:rsidRDefault="00552F1F" w:rsidP="00203A79">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 xml:space="preserve">а) 4.25%- по индивидуален договор за допълнително доброволно пенсионно осигуряване с месечна вноска до 50 (петдесет) евро включително. </w:t>
            </w:r>
          </w:p>
          <w:p w14:paraId="79BED86B" w14:textId="77777777" w:rsidR="00552F1F" w:rsidRPr="002F4C0E" w:rsidRDefault="00552F1F" w:rsidP="00203A79">
            <w:pPr>
              <w:pStyle w:val="BodyTextIndent"/>
              <w:ind w:right="48" w:firstLine="0"/>
              <w:rPr>
                <w:rFonts w:ascii="Times New Roman" w:hAnsi="Times New Roman"/>
                <w:sz w:val="20"/>
                <w:lang w:val="bg-BG" w:eastAsia="bg-BG"/>
              </w:rPr>
            </w:pPr>
          </w:p>
          <w:p w14:paraId="29817995" w14:textId="77777777" w:rsidR="00552F1F" w:rsidRPr="002F4C0E" w:rsidRDefault="00552F1F" w:rsidP="00203A79">
            <w:pPr>
              <w:pStyle w:val="BodyTextIndent"/>
              <w:ind w:firstLine="0"/>
              <w:rPr>
                <w:rFonts w:ascii="Times New Roman" w:hAnsi="Times New Roman"/>
                <w:sz w:val="20"/>
                <w:lang w:val="bg-BG"/>
              </w:rPr>
            </w:pPr>
            <w:r w:rsidRPr="002F4C0E">
              <w:rPr>
                <w:rFonts w:ascii="Times New Roman" w:hAnsi="Times New Roman"/>
                <w:sz w:val="20"/>
                <w:lang w:val="bg-BG" w:eastAsia="bg-BG"/>
              </w:rPr>
              <w:t xml:space="preserve">б) </w:t>
            </w:r>
            <w:r w:rsidRPr="002F4C0E">
              <w:rPr>
                <w:rFonts w:ascii="Times New Roman" w:hAnsi="Times New Roman"/>
                <w:sz w:val="20"/>
                <w:lang w:val="bg-BG"/>
              </w:rPr>
              <w:t xml:space="preserve">4.00%- по индивидуален договор за допълнително доброволно пенсионно осигуряване с месечна вноска над 50 евро и по-малка от 250 евро включително. </w:t>
            </w:r>
          </w:p>
          <w:p w14:paraId="67221494" w14:textId="77777777" w:rsidR="00552F1F" w:rsidRPr="002F4C0E" w:rsidRDefault="00552F1F" w:rsidP="00203A79">
            <w:pPr>
              <w:pStyle w:val="BodyTextIndent"/>
              <w:ind w:right="48" w:firstLine="0"/>
              <w:rPr>
                <w:rFonts w:ascii="Times New Roman" w:hAnsi="Times New Roman"/>
                <w:sz w:val="20"/>
                <w:lang w:val="bg-BG" w:eastAsia="bg-BG"/>
              </w:rPr>
            </w:pPr>
          </w:p>
          <w:p w14:paraId="217C6E99" w14:textId="77777777" w:rsidR="00552F1F" w:rsidRPr="002F4C0E" w:rsidRDefault="00552F1F" w:rsidP="00203A79">
            <w:pPr>
              <w:pStyle w:val="BodyTextIndent"/>
              <w:ind w:right="48" w:firstLine="0"/>
              <w:rPr>
                <w:rFonts w:ascii="Times New Roman" w:hAnsi="Times New Roman"/>
                <w:sz w:val="20"/>
                <w:lang w:val="bg-BG"/>
              </w:rPr>
            </w:pPr>
            <w:r w:rsidRPr="002F4C0E">
              <w:rPr>
                <w:rFonts w:ascii="Times New Roman" w:hAnsi="Times New Roman"/>
                <w:sz w:val="20"/>
                <w:lang w:val="bg-BG" w:eastAsia="bg-BG"/>
              </w:rPr>
              <w:t xml:space="preserve">в) </w:t>
            </w:r>
            <w:r w:rsidRPr="002F4C0E">
              <w:rPr>
                <w:rFonts w:ascii="Times New Roman" w:hAnsi="Times New Roman"/>
                <w:sz w:val="20"/>
                <w:lang w:val="bg-BG"/>
              </w:rPr>
              <w:t>3.00%- по индивидуален договор за допълнително доброволно пенсионно осигуряване с месечна вноска над 250 (двеста и петдесет) евро;</w:t>
            </w:r>
          </w:p>
          <w:p w14:paraId="3DABAE96" w14:textId="77777777" w:rsidR="00552F1F" w:rsidRPr="002F4C0E" w:rsidRDefault="00552F1F" w:rsidP="00203A79">
            <w:pPr>
              <w:pStyle w:val="BodyTextIndent"/>
              <w:ind w:right="48" w:firstLine="0"/>
              <w:rPr>
                <w:rFonts w:ascii="Times New Roman" w:hAnsi="Times New Roman"/>
                <w:bCs/>
                <w:sz w:val="20"/>
                <w:lang w:val="bg-BG" w:eastAsia="bg-BG"/>
              </w:rPr>
            </w:pPr>
            <w:r w:rsidRPr="002F4C0E">
              <w:rPr>
                <w:rFonts w:ascii="Times New Roman" w:hAnsi="Times New Roman"/>
                <w:sz w:val="20"/>
                <w:lang w:val="bg-BG" w:eastAsia="bg-BG"/>
              </w:rPr>
              <w:t xml:space="preserve">г) </w:t>
            </w:r>
            <w:r w:rsidRPr="002F4C0E">
              <w:rPr>
                <w:rFonts w:ascii="Times New Roman" w:hAnsi="Times New Roman"/>
                <w:bCs/>
                <w:sz w:val="20"/>
                <w:lang w:val="bg-BG" w:eastAsia="bg-BG"/>
              </w:rPr>
              <w:t>3.8%-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до размера на данъчно признатия разход за допълнително доброволно пенсионно осигуряване по Закона за корпоративно подоходно облагане (ЗКПО).</w:t>
            </w:r>
            <w:r w:rsidRPr="002F4C0E">
              <w:rPr>
                <w:rFonts w:ascii="Times New Roman" w:hAnsi="Times New Roman"/>
                <w:sz w:val="20"/>
                <w:lang w:val="bg-BG" w:eastAsia="bg-BG"/>
              </w:rPr>
              <w:br/>
              <w:t xml:space="preserve">(д) </w:t>
            </w:r>
            <w:r w:rsidRPr="002F4C0E">
              <w:rPr>
                <w:rFonts w:ascii="Times New Roman" w:hAnsi="Times New Roman"/>
                <w:bCs/>
                <w:sz w:val="20"/>
                <w:lang w:val="bg-BG" w:eastAsia="bg-BG"/>
              </w:rPr>
              <w:t>3 %-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над размера на данъчно признатия разход за допълнително доброволно пенсионно осигуряване по Закона за корпоративно подоходно облагане (ЗКПО).</w:t>
            </w:r>
          </w:p>
          <w:p w14:paraId="7E558382" w14:textId="77777777" w:rsidR="00552F1F" w:rsidRPr="002F4C0E" w:rsidRDefault="00552F1F" w:rsidP="00203A79">
            <w:pPr>
              <w:pStyle w:val="BodyTextIndent"/>
              <w:ind w:right="48" w:firstLine="0"/>
              <w:rPr>
                <w:rFonts w:ascii="Times New Roman" w:hAnsi="Times New Roman"/>
                <w:bCs/>
                <w:sz w:val="20"/>
                <w:lang w:val="bg-BG" w:eastAsia="bg-BG"/>
              </w:rPr>
            </w:pPr>
            <w:r w:rsidRPr="002F4C0E">
              <w:rPr>
                <w:rFonts w:ascii="Times New Roman" w:hAnsi="Times New Roman"/>
                <w:bCs/>
                <w:sz w:val="20"/>
                <w:lang w:val="bg-BG" w:eastAsia="bg-BG"/>
              </w:rPr>
              <w:t>(е)</w:t>
            </w:r>
            <w:r w:rsidRPr="002F4C0E">
              <w:rPr>
                <w:rFonts w:ascii="Arial" w:hAnsi="Arial" w:cs="Arial"/>
                <w:bCs/>
                <w:sz w:val="20"/>
                <w:lang w:val="bg-BG"/>
              </w:rPr>
              <w:t xml:space="preserve"> </w:t>
            </w:r>
            <w:r w:rsidRPr="002F4C0E">
              <w:rPr>
                <w:rFonts w:ascii="Times New Roman" w:hAnsi="Times New Roman"/>
                <w:bCs/>
                <w:sz w:val="20"/>
                <w:lang w:val="bg-BG" w:eastAsia="bg-BG"/>
              </w:rPr>
              <w:t xml:space="preserve">Когато общият размер на месечната осигурителна вноска </w:t>
            </w:r>
            <w:bookmarkStart w:id="0" w:name="_Hlk210725333"/>
            <w:r w:rsidRPr="002F4C0E">
              <w:rPr>
                <w:rFonts w:ascii="Times New Roman" w:hAnsi="Times New Roman"/>
                <w:bCs/>
                <w:sz w:val="20"/>
                <w:lang w:val="bg-BG" w:eastAsia="bg-BG"/>
              </w:rPr>
              <w:t>по договор за допълнително доброволно пенсионно осигуряване за сметка на</w:t>
            </w:r>
            <w:bookmarkEnd w:id="0"/>
            <w:r w:rsidRPr="002F4C0E">
              <w:rPr>
                <w:rFonts w:ascii="Times New Roman" w:hAnsi="Times New Roman"/>
                <w:bCs/>
                <w:sz w:val="20"/>
                <w:lang w:val="bg-BG" w:eastAsia="bg-BG"/>
              </w:rPr>
              <w:t xml:space="preserve"> осигурител или друг осигурител е 25 000 евро и повече, удръжката се определя и изчислява съобразно броя на осигурените лица, както следва:</w:t>
            </w:r>
          </w:p>
          <w:p w14:paraId="31A31C52" w14:textId="77777777" w:rsidR="00552F1F" w:rsidRPr="002F4C0E" w:rsidRDefault="00552F1F" w:rsidP="00203A79">
            <w:pPr>
              <w:pStyle w:val="BodyTextIndent"/>
              <w:ind w:firstLine="0"/>
              <w:rPr>
                <w:rFonts w:ascii="Times New Roman" w:hAnsi="Times New Roman"/>
                <w:bCs/>
                <w:sz w:val="20"/>
                <w:lang w:val="bg-BG"/>
              </w:rPr>
            </w:pPr>
            <w:r w:rsidRPr="002F4C0E">
              <w:rPr>
                <w:rFonts w:ascii="Times New Roman" w:hAnsi="Times New Roman"/>
                <w:bCs/>
                <w:sz w:val="20"/>
                <w:lang w:val="bg-BG"/>
              </w:rPr>
              <w:t>1. До 2400 лица – 3%</w:t>
            </w:r>
          </w:p>
          <w:p w14:paraId="598246A3" w14:textId="77777777" w:rsidR="00552F1F" w:rsidRPr="002F4C0E" w:rsidRDefault="00552F1F" w:rsidP="00203A79">
            <w:pPr>
              <w:pStyle w:val="BodyTextIndent"/>
              <w:ind w:firstLine="0"/>
              <w:rPr>
                <w:rFonts w:ascii="Times New Roman" w:hAnsi="Times New Roman"/>
                <w:bCs/>
                <w:sz w:val="20"/>
                <w:lang w:val="bg-BG"/>
              </w:rPr>
            </w:pPr>
            <w:r w:rsidRPr="002F4C0E">
              <w:rPr>
                <w:rFonts w:ascii="Times New Roman" w:hAnsi="Times New Roman"/>
                <w:bCs/>
                <w:sz w:val="20"/>
                <w:lang w:val="bg-BG"/>
              </w:rPr>
              <w:t>2. Над 2400 лица – 2.1%</w:t>
            </w:r>
          </w:p>
          <w:p w14:paraId="75DCB4AD" w14:textId="77777777" w:rsidR="00552F1F" w:rsidRPr="002F4C0E" w:rsidRDefault="00552F1F" w:rsidP="00EE7109">
            <w:pPr>
              <w:pStyle w:val="BodyTextIndent"/>
              <w:ind w:right="0" w:firstLine="0"/>
              <w:rPr>
                <w:rFonts w:ascii="Times New Roman" w:hAnsi="Times New Roman"/>
                <w:bCs/>
                <w:sz w:val="20"/>
                <w:lang w:val="bg-BG"/>
              </w:rPr>
            </w:pPr>
            <w:r w:rsidRPr="002F4C0E">
              <w:rPr>
                <w:rFonts w:ascii="Times New Roman" w:hAnsi="Times New Roman"/>
                <w:bCs/>
                <w:sz w:val="20"/>
                <w:lang w:val="bg-BG"/>
              </w:rPr>
              <w:t>ж) за вноски с периодичност, различна от един месец, размерът на удръжката се определя, като вноската се преизчислява на месечна база, в зависимост от периода, за който тя се отнася.</w:t>
            </w:r>
          </w:p>
          <w:p w14:paraId="2F0C4C68"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з) При индивидуален договор за допълнително доброволно пенсионно осигуряване (с лични вноски), както и в случаите на договор за допълнително пенсионно осигуряване от друг осигурител, когато натрупаната сума от вноски по партидата надхвърли 10 000 (десет хиляди) eвро, Дружеството намалява събираната такса по чл. 73.2 букви „а“-„ж“ от Правилника с 10%. (буква а-ж от настоящия документ)</w:t>
            </w:r>
          </w:p>
          <w:p w14:paraId="05DBF97E"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к)   По отношение на лицата, осигурени в универсалния и/или професионалния пенсионен фонд, управляван от Дружеството, размерът на таксите по чл.73.2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62FF03BB"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л) (нова с решение на СД от 14.10.2025 г., в сила от 01.01.2026 г.)   При наличие на обстоятелствата по чл.73.2.1. и чл.73.2.2 от Правилника, отстъпката се акумулира, съгласно последователността на прилагането им.</w:t>
            </w:r>
          </w:p>
          <w:p w14:paraId="6C3EF62C"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м) (нова, с решение на СД от 14.10.2025 г, в сила от 01.01.2026 г.) Когато лицето има сключен договор за разсрочено плащане от ФРП-Бъдеще или договор за допълнителна пожизнена пенсия от ФИПП-Бъдеще и прехвърля част или цялото си пенсионно плащане в „ДПФ-Бъдеще“, дружеството събира такса в размер на 0,2% от преведената сума.</w:t>
            </w:r>
          </w:p>
          <w:p w14:paraId="498E3B30" w14:textId="77777777" w:rsidR="00552F1F" w:rsidRPr="002F4C0E" w:rsidRDefault="00552F1F" w:rsidP="00203A79">
            <w:pPr>
              <w:pStyle w:val="BodyTextIndent"/>
              <w:ind w:right="48" w:firstLine="0"/>
              <w:rPr>
                <w:rFonts w:ascii="Times New Roman" w:hAnsi="Times New Roman"/>
                <w:bCs/>
                <w:sz w:val="20"/>
                <w:lang w:val="bg-BG"/>
              </w:rPr>
            </w:pPr>
          </w:p>
          <w:p w14:paraId="58FB2D5C" w14:textId="77777777" w:rsidR="00552F1F" w:rsidRPr="002F4C0E" w:rsidRDefault="00552F1F" w:rsidP="00203A79">
            <w:pPr>
              <w:pStyle w:val="BodyTextIndent"/>
              <w:ind w:right="48" w:firstLine="0"/>
              <w:rPr>
                <w:rFonts w:ascii="Times New Roman" w:hAnsi="Times New Roman"/>
                <w:b/>
                <w:sz w:val="20"/>
                <w:lang w:val="bg-BG" w:eastAsia="bg-BG"/>
              </w:rPr>
            </w:pPr>
            <w:r w:rsidRPr="002F4C0E">
              <w:rPr>
                <w:rFonts w:ascii="Times New Roman" w:hAnsi="Times New Roman"/>
                <w:bCs/>
                <w:sz w:val="20"/>
                <w:lang w:val="bg-BG" w:eastAsia="bg-BG"/>
              </w:rPr>
              <w:t xml:space="preserve"> </w:t>
            </w:r>
            <w:r w:rsidRPr="002F4C0E">
              <w:rPr>
                <w:rFonts w:ascii="Times New Roman" w:hAnsi="Times New Roman"/>
                <w:b/>
                <w:sz w:val="20"/>
                <w:lang w:val="bg-BG" w:eastAsia="bg-BG"/>
              </w:rPr>
              <w:t xml:space="preserve">2.Удръжка като процент от всяка еднократна осигурителна вноска,  която се използва за администриране и управление на </w:t>
            </w:r>
            <w:r w:rsidRPr="002F4C0E">
              <w:rPr>
                <w:rFonts w:ascii="Times New Roman" w:hAnsi="Times New Roman"/>
                <w:b/>
                <w:sz w:val="20"/>
                <w:lang w:val="bg-BG" w:eastAsia="bg-BG"/>
              </w:rPr>
              <w:lastRenderedPageBreak/>
              <w:t>фонда в размер на:</w:t>
            </w:r>
          </w:p>
          <w:p w14:paraId="3707FB96"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 xml:space="preserve"> а) 4.00%- по индивидуален договор за допълнително доброволно пенсионно осигуряване с еднократна вноска до 500 евро включително </w:t>
            </w:r>
          </w:p>
          <w:p w14:paraId="484B892D"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б) 3.00%- по индивидуален договор за допълнително доброволно пенсионно осигуряване с еднократна вноска над 500 евро до 2500 евро включително;</w:t>
            </w:r>
          </w:p>
          <w:p w14:paraId="14DA5B77"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в) 2.50%- по индивидуален договор за допълнително доброволно пенсионно осигуряване с еднократна вноска над 2500 евро;</w:t>
            </w:r>
          </w:p>
          <w:p w14:paraId="17F3AF16" w14:textId="77777777" w:rsidR="00552F1F" w:rsidRPr="002F4C0E" w:rsidRDefault="00552F1F" w:rsidP="00203A79">
            <w:pPr>
              <w:pStyle w:val="BodyTextIndent"/>
              <w:ind w:right="48" w:firstLine="0"/>
              <w:rPr>
                <w:rFonts w:ascii="Times New Roman" w:hAnsi="Times New Roman"/>
                <w:sz w:val="20"/>
                <w:lang w:val="bg-BG"/>
              </w:rPr>
            </w:pPr>
            <w:bookmarkStart w:id="1" w:name="_Hlk210387685"/>
            <w:r w:rsidRPr="002F4C0E">
              <w:rPr>
                <w:rFonts w:ascii="Times New Roman" w:hAnsi="Times New Roman"/>
                <w:sz w:val="20"/>
                <w:lang w:val="bg-BG"/>
              </w:rPr>
              <w:t>г.) По отношение на лицата, осигурени в универсалния и/или професионалния пенсионен фонд, управляван от Дружеството, размерът на таксите по чл.73.3, букви „а“-„в“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7A90A413" w14:textId="77777777" w:rsidR="00552F1F" w:rsidRPr="002F4C0E" w:rsidRDefault="00552F1F" w:rsidP="00203A79">
            <w:pPr>
              <w:pStyle w:val="BodyTextIndent"/>
              <w:ind w:right="48" w:firstLine="0"/>
              <w:rPr>
                <w:rFonts w:ascii="Times New Roman" w:hAnsi="Times New Roman"/>
                <w:sz w:val="20"/>
                <w:lang w:val="bg-BG"/>
              </w:rPr>
            </w:pPr>
            <w:r w:rsidRPr="002F4C0E">
              <w:rPr>
                <w:rFonts w:ascii="Times New Roman" w:hAnsi="Times New Roman"/>
                <w:sz w:val="20"/>
                <w:lang w:val="bg-BG"/>
              </w:rPr>
              <w:t>д) При индивидуален договор за допълнително доброволно пенсионно осигуряване (с лични вноски), както и в случаите на договор за допълнително доброволно пенсионно осигуряване за сметка на друг осигурител, при които вноската се извършва еднократно и размерът ѝ е 10 000 евро или повече, Дружеството събира 60% от размера на удръжките  по чл.73.3 от Правилника, при условие че договорът не е сключен чрез осигурителен посредник.</w:t>
            </w:r>
          </w:p>
          <w:p w14:paraId="19F358E0" w14:textId="77777777" w:rsidR="00552F1F" w:rsidRPr="002F4C0E" w:rsidRDefault="00552F1F" w:rsidP="00203A79">
            <w:pPr>
              <w:pStyle w:val="BodyTextIndent"/>
              <w:ind w:right="48" w:firstLine="0"/>
              <w:rPr>
                <w:rFonts w:ascii="Times New Roman" w:hAnsi="Times New Roman"/>
                <w:sz w:val="20"/>
              </w:rPr>
            </w:pPr>
            <w:r w:rsidRPr="002F4C0E">
              <w:rPr>
                <w:rFonts w:ascii="Times New Roman" w:hAnsi="Times New Roman"/>
                <w:sz w:val="20"/>
                <w:lang w:val="bg-BG"/>
              </w:rPr>
              <w:t>е) При наличие на обстоятелства по чл. 73.3.1 и чл.73.3.2 от Правилника се прилага отстъпката по чл.73.3.2. от Правилника.</w:t>
            </w:r>
            <w:bookmarkEnd w:id="1"/>
          </w:p>
        </w:tc>
      </w:tr>
      <w:tr w:rsidR="00552F1F" w:rsidRPr="002F4C0E" w14:paraId="7F7F6950"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665778" w14:textId="77777777" w:rsidR="00552F1F" w:rsidRPr="002F4C0E" w:rsidRDefault="00552F1F" w:rsidP="00203A79">
            <w:pPr>
              <w:shd w:val="clear" w:color="auto" w:fill="FFFFFF"/>
              <w:rPr>
                <w:sz w:val="20"/>
                <w:szCs w:val="20"/>
              </w:rPr>
            </w:pPr>
            <w:r w:rsidRPr="002F4C0E">
              <w:rPr>
                <w:rFonts w:ascii="Times New Roman" w:hAnsi="Times New Roman"/>
                <w:color w:val="000000"/>
                <w:spacing w:val="-1"/>
                <w:sz w:val="20"/>
                <w:szCs w:val="20"/>
              </w:rPr>
              <w:lastRenderedPageBreak/>
              <w:t>Инвестиционна такса от дохода, реализиран от инвестирането на средствата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364846" w14:textId="77777777" w:rsidR="00552F1F" w:rsidRPr="002F4C0E" w:rsidRDefault="00552F1F" w:rsidP="00203A79">
            <w:pPr>
              <w:shd w:val="clear" w:color="auto" w:fill="FFFFFF"/>
              <w:ind w:left="5"/>
              <w:rPr>
                <w:rFonts w:ascii="Times New Roman" w:hAnsi="Times New Roman"/>
                <w:sz w:val="20"/>
                <w:szCs w:val="20"/>
              </w:rPr>
            </w:pPr>
            <w:r w:rsidRPr="002F4C0E">
              <w:rPr>
                <w:rFonts w:ascii="Times New Roman" w:hAnsi="Times New Roman"/>
                <w:sz w:val="20"/>
                <w:szCs w:val="20"/>
              </w:rPr>
              <w:t xml:space="preserve">Инвестиционна такса в размер на </w:t>
            </w:r>
            <w:r w:rsidRPr="002F4C0E">
              <w:rPr>
                <w:rFonts w:ascii="Times New Roman" w:hAnsi="Times New Roman"/>
                <w:b/>
                <w:sz w:val="20"/>
                <w:szCs w:val="20"/>
              </w:rPr>
              <w:t>9.90</w:t>
            </w:r>
            <w:r w:rsidRPr="002F4C0E">
              <w:rPr>
                <w:rFonts w:ascii="Times New Roman" w:hAnsi="Times New Roman"/>
                <w:sz w:val="20"/>
                <w:szCs w:val="20"/>
              </w:rPr>
              <w:t xml:space="preserve"> % от дохода, реализиран при инвестиране на средствата на ФОНДА.</w:t>
            </w:r>
          </w:p>
        </w:tc>
      </w:tr>
      <w:tr w:rsidR="00552F1F" w:rsidRPr="002F4C0E" w14:paraId="36A14181"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5F811A1" w14:textId="77777777" w:rsidR="00552F1F" w:rsidRPr="002F4C0E" w:rsidRDefault="00552F1F" w:rsidP="00203A79">
            <w:pPr>
              <w:shd w:val="clear" w:color="auto" w:fill="FFFFFF"/>
              <w:spacing w:line="230" w:lineRule="exact"/>
              <w:ind w:right="163"/>
              <w:rPr>
                <w:sz w:val="20"/>
                <w:szCs w:val="20"/>
              </w:rPr>
            </w:pPr>
            <w:r w:rsidRPr="002F4C0E">
              <w:rPr>
                <w:rFonts w:ascii="Times New Roman" w:hAnsi="Times New Roman"/>
                <w:color w:val="000000"/>
                <w:spacing w:val="-1"/>
                <w:sz w:val="20"/>
                <w:szCs w:val="20"/>
              </w:rPr>
              <w:t xml:space="preserve">Такса при пълно или частично изтегляне на средствата от индивидуалната партида </w:t>
            </w:r>
            <w:r w:rsidRPr="002F4C0E">
              <w:rPr>
                <w:rFonts w:ascii="Times New Roman" w:hAnsi="Times New Roman"/>
                <w:color w:val="000000"/>
                <w:sz w:val="20"/>
                <w:szCs w:val="20"/>
              </w:rPr>
              <w:t>преди придобиване на право на пенсия за старост или инвалидност</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C93929" w14:textId="77777777" w:rsidR="00552F1F" w:rsidRPr="002F4C0E" w:rsidRDefault="00552F1F" w:rsidP="00203A79">
            <w:pPr>
              <w:shd w:val="clear" w:color="auto" w:fill="FFFFFF"/>
              <w:ind w:left="5"/>
              <w:rPr>
                <w:rFonts w:ascii="Times New Roman" w:hAnsi="Times New Roman"/>
                <w:color w:val="000000"/>
                <w:sz w:val="20"/>
                <w:szCs w:val="20"/>
              </w:rPr>
            </w:pPr>
            <w:r w:rsidRPr="002F4C0E">
              <w:rPr>
                <w:rFonts w:ascii="Times New Roman" w:hAnsi="Times New Roman"/>
                <w:color w:val="000000"/>
                <w:sz w:val="20"/>
                <w:szCs w:val="20"/>
              </w:rPr>
              <w:t xml:space="preserve">Такса в размер на </w:t>
            </w:r>
            <w:r w:rsidRPr="002F4C0E">
              <w:rPr>
                <w:rFonts w:ascii="Times New Roman" w:hAnsi="Times New Roman"/>
                <w:bCs/>
                <w:color w:val="000000"/>
                <w:sz w:val="20"/>
                <w:szCs w:val="20"/>
              </w:rPr>
              <w:t>2 %</w:t>
            </w:r>
            <w:r w:rsidRPr="002F4C0E">
              <w:rPr>
                <w:rFonts w:ascii="Times New Roman" w:hAnsi="Times New Roman"/>
                <w:color w:val="000000"/>
                <w:sz w:val="20"/>
                <w:szCs w:val="20"/>
              </w:rPr>
              <w:t xml:space="preserve">, но не повече от </w:t>
            </w:r>
            <w:r w:rsidRPr="002F4C0E">
              <w:rPr>
                <w:rFonts w:ascii="Times New Roman" w:hAnsi="Times New Roman"/>
                <w:b/>
                <w:color w:val="000000"/>
                <w:sz w:val="20"/>
                <w:szCs w:val="20"/>
              </w:rPr>
              <w:t>10.00</w:t>
            </w:r>
            <w:r w:rsidRPr="002F4C0E">
              <w:rPr>
                <w:rFonts w:ascii="Times New Roman" w:hAnsi="Times New Roman"/>
                <w:color w:val="000000"/>
                <w:sz w:val="20"/>
                <w:szCs w:val="20"/>
              </w:rPr>
              <w:t xml:space="preserve"> евро при всяко изтегляне /изцяло или частично/ на натрупаните средства по индивидуалната осигурителна партида преди придобиване на право на лична пенсия за старост или за инвалидност. Такса не се заплаща:</w:t>
            </w:r>
          </w:p>
          <w:p w14:paraId="4AA2B468" w14:textId="77777777" w:rsidR="00552F1F" w:rsidRPr="002F4C0E" w:rsidRDefault="00552F1F" w:rsidP="00EE7109">
            <w:pPr>
              <w:numPr>
                <w:ilvl w:val="0"/>
                <w:numId w:val="5"/>
              </w:numPr>
              <w:shd w:val="clear" w:color="auto" w:fill="FFFFFF"/>
              <w:suppressAutoHyphens/>
              <w:autoSpaceDN w:val="0"/>
              <w:spacing w:after="0" w:line="257" w:lineRule="auto"/>
              <w:ind w:left="431" w:hanging="284"/>
              <w:rPr>
                <w:rFonts w:ascii="Times New Roman" w:hAnsi="Times New Roman"/>
                <w:color w:val="000000"/>
                <w:sz w:val="20"/>
                <w:szCs w:val="20"/>
              </w:rPr>
            </w:pPr>
            <w:r w:rsidRPr="002F4C0E">
              <w:rPr>
                <w:rFonts w:ascii="Times New Roman" w:hAnsi="Times New Roman"/>
                <w:color w:val="000000"/>
                <w:sz w:val="20"/>
                <w:szCs w:val="20"/>
              </w:rPr>
              <w:t>При прехвърляне или изтегляне на средства поради несъгласие с изменения на Правилника на ФОНДА.</w:t>
            </w:r>
          </w:p>
          <w:p w14:paraId="5EEFE3CE" w14:textId="77777777" w:rsidR="00552F1F" w:rsidRPr="002F4C0E" w:rsidRDefault="00552F1F" w:rsidP="00EE7109">
            <w:pPr>
              <w:numPr>
                <w:ilvl w:val="0"/>
                <w:numId w:val="5"/>
              </w:numPr>
              <w:shd w:val="clear" w:color="auto" w:fill="FFFFFF"/>
              <w:suppressAutoHyphens/>
              <w:autoSpaceDN w:val="0"/>
              <w:spacing w:after="0" w:line="257" w:lineRule="auto"/>
              <w:ind w:left="431" w:hanging="284"/>
              <w:rPr>
                <w:rFonts w:ascii="Times New Roman" w:hAnsi="Times New Roman"/>
                <w:color w:val="000000"/>
                <w:sz w:val="20"/>
                <w:szCs w:val="20"/>
              </w:rPr>
            </w:pPr>
            <w:r w:rsidRPr="002F4C0E">
              <w:rPr>
                <w:rFonts w:ascii="Times New Roman" w:hAnsi="Times New Roman"/>
                <w:color w:val="000000"/>
                <w:sz w:val="20"/>
                <w:szCs w:val="20"/>
              </w:rPr>
              <w:t>При преобразуване или прекратяване на Дружеството или на ФОНДА.</w:t>
            </w:r>
          </w:p>
          <w:p w14:paraId="34033080" w14:textId="77777777" w:rsidR="00552F1F" w:rsidRPr="002F4C0E" w:rsidRDefault="00552F1F" w:rsidP="00EE7109">
            <w:pPr>
              <w:pStyle w:val="ListParagraph"/>
              <w:numPr>
                <w:ilvl w:val="0"/>
                <w:numId w:val="5"/>
              </w:numPr>
              <w:shd w:val="clear" w:color="auto" w:fill="FFFFFF"/>
              <w:autoSpaceDN w:val="0"/>
              <w:spacing w:line="256" w:lineRule="auto"/>
              <w:ind w:left="431" w:hanging="284"/>
              <w:contextualSpacing/>
              <w:rPr>
                <w:rFonts w:ascii="Times New Roman" w:hAnsi="Times New Roman"/>
                <w:sz w:val="20"/>
                <w:szCs w:val="20"/>
              </w:rPr>
            </w:pPr>
            <w:r w:rsidRPr="002F4C0E">
              <w:rPr>
                <w:rFonts w:ascii="Times New Roman" w:hAnsi="Times New Roman"/>
                <w:color w:val="000000"/>
                <w:sz w:val="20"/>
                <w:szCs w:val="20"/>
              </w:rPr>
              <w:t>От наследниците на починало осигурено лице или пенсионер.</w:t>
            </w:r>
          </w:p>
          <w:p w14:paraId="79687018" w14:textId="77777777" w:rsidR="00552F1F" w:rsidRPr="002F4C0E" w:rsidRDefault="00552F1F" w:rsidP="00EE7109">
            <w:pPr>
              <w:pStyle w:val="ListParagraph"/>
              <w:numPr>
                <w:ilvl w:val="0"/>
                <w:numId w:val="5"/>
              </w:numPr>
              <w:shd w:val="clear" w:color="auto" w:fill="FFFFFF"/>
              <w:autoSpaceDN w:val="0"/>
              <w:spacing w:line="256" w:lineRule="auto"/>
              <w:ind w:left="431" w:hanging="284"/>
              <w:contextualSpacing/>
              <w:rPr>
                <w:rFonts w:ascii="Times New Roman" w:hAnsi="Times New Roman"/>
                <w:sz w:val="20"/>
                <w:szCs w:val="20"/>
              </w:rPr>
            </w:pPr>
            <w:r w:rsidRPr="002F4C0E">
              <w:rPr>
                <w:rFonts w:ascii="Times New Roman" w:hAnsi="Times New Roman"/>
                <w:sz w:val="20"/>
                <w:szCs w:val="20"/>
              </w:rPr>
              <w:t>От лицата, придобили право на лична пенсия за старост или инвалидност.</w:t>
            </w:r>
          </w:p>
        </w:tc>
      </w:tr>
    </w:tbl>
    <w:p w14:paraId="02FDDDE9"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13286517"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0DC1EC58" w14:textId="06234C0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4. Гаранции</w:t>
      </w:r>
    </w:p>
    <w:p w14:paraId="639496C0"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Следва да имате предвид, че при осигуряването във фонд за доброволно пенсионно осигуряване на осигурените лица не се гарантира положителна доходност и запазване в пълен размер на внесените по индивидуалните партиди  средства.</w:t>
      </w:r>
    </w:p>
    <w:p w14:paraId="56683916"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p w14:paraId="7762EC10"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III. Общи указания за осигуреното в ДПФ лице </w:t>
      </w:r>
    </w:p>
    <w:p w14:paraId="2907114F"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1. 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3630F866" w14:textId="0C778A93" w:rsidR="00464A6E" w:rsidRDefault="00921D5D" w:rsidP="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2. Уведомявайте ПОД при всяка промяна в личните Ви данни, записани в </w:t>
      </w:r>
      <w:r>
        <w:rPr>
          <w:rFonts w:ascii="Times New Roman" w:hAnsi="Times New Roman"/>
          <w:sz w:val="24"/>
          <w:szCs w:val="24"/>
        </w:rPr>
        <w:lastRenderedPageBreak/>
        <w:t>осигурителния договор, като е необходимо да приложите и копия от документите,</w:t>
      </w:r>
      <w:r w:rsidR="00552F1F">
        <w:rPr>
          <w:rFonts w:ascii="Times New Roman" w:hAnsi="Times New Roman"/>
          <w:sz w:val="24"/>
          <w:szCs w:val="24"/>
        </w:rPr>
        <w:t xml:space="preserve"> </w:t>
      </w:r>
      <w:r>
        <w:rPr>
          <w:rFonts w:ascii="Times New Roman" w:hAnsi="Times New Roman"/>
          <w:sz w:val="24"/>
          <w:szCs w:val="24"/>
        </w:rPr>
        <w:t>удостоверяващи това обстоятелство. Така ще бъдат защитени Вашите интереси.</w:t>
      </w:r>
    </w:p>
    <w:p w14:paraId="0FB62877"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3. Информирайте се как се управляват Вашите средства. Дружеството ежедневно оповестява във всеки свой офис и на страницата си в интернет стойността на един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5A3B14AD" w14:textId="77777777" w:rsidR="00464A6E" w:rsidRDefault="00464A6E">
      <w:pPr>
        <w:pStyle w:val="LO-Normal"/>
        <w:widowControl w:val="0"/>
        <w:autoSpaceDE w:val="0"/>
        <w:spacing w:after="0" w:line="240" w:lineRule="auto"/>
        <w:ind w:firstLine="480"/>
        <w:jc w:val="both"/>
      </w:pPr>
    </w:p>
    <w:tbl>
      <w:tblPr>
        <w:tblW w:w="9750" w:type="dxa"/>
        <w:tblInd w:w="45" w:type="dxa"/>
        <w:tblCellMar>
          <w:top w:w="15" w:type="dxa"/>
          <w:left w:w="15" w:type="dxa"/>
          <w:bottom w:w="15" w:type="dxa"/>
          <w:right w:w="15" w:type="dxa"/>
        </w:tblCellMar>
        <w:tblLook w:val="0000" w:firstRow="0" w:lastRow="0" w:firstColumn="0" w:lastColumn="0" w:noHBand="0" w:noVBand="0"/>
      </w:tblPr>
      <w:tblGrid>
        <w:gridCol w:w="9700"/>
        <w:gridCol w:w="50"/>
      </w:tblGrid>
      <w:tr w:rsidR="00464A6E" w14:paraId="30EF7254" w14:textId="77777777">
        <w:tc>
          <w:tcPr>
            <w:tcW w:w="9700" w:type="dxa"/>
            <w:vAlign w:val="center"/>
          </w:tcPr>
          <w:tbl>
            <w:tblPr>
              <w:tblW w:w="8929" w:type="dxa"/>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8929"/>
            </w:tblGrid>
            <w:tr w:rsidR="00464A6E" w14:paraId="4871918B" w14:textId="77777777">
              <w:trPr>
                <w:trHeight w:val="1396"/>
              </w:trPr>
              <w:tc>
                <w:tcPr>
                  <w:tcW w:w="8929" w:type="dxa"/>
                  <w:tcBorders>
                    <w:top w:val="single" w:sz="6" w:space="0" w:color="A0A0A0"/>
                    <w:left w:val="single" w:sz="6" w:space="0" w:color="A0A0A0"/>
                    <w:bottom w:val="single" w:sz="6" w:space="0" w:color="F0F0F0"/>
                    <w:right w:val="single" w:sz="6" w:space="0" w:color="F0F0F0"/>
                  </w:tcBorders>
                  <w:vAlign w:val="center"/>
                </w:tcPr>
                <w:p w14:paraId="27951A93"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1E29383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Вие можете да получите допълнителна информация за дейността на ПОД: </w:t>
                  </w:r>
                </w:p>
                <w:p w14:paraId="2E5D91E2" w14:textId="45047AD7" w:rsidR="00464A6E" w:rsidRDefault="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21D5D">
                    <w:rPr>
                      <w:rFonts w:ascii="Times New Roman" w:hAnsi="Times New Roman"/>
                      <w:sz w:val="24"/>
                      <w:szCs w:val="24"/>
                    </w:rPr>
                    <w:t>– на тел. 0700 14 250;</w:t>
                  </w:r>
                </w:p>
                <w:p w14:paraId="56B25C06"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www. Budeshte.bg;</w:t>
                  </w:r>
                </w:p>
                <w:p w14:paraId="1381329E"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от неговите осигурителни посредници и служители;</w:t>
                  </w:r>
                </w:p>
                <w:p w14:paraId="5E7F821B"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от Комисията за финансов надзор (www.fsc.bg). </w:t>
                  </w:r>
                </w:p>
                <w:p w14:paraId="5CAF342D"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tc>
            </w:tr>
          </w:tbl>
          <w:p w14:paraId="47E94A4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c>
          <w:tcPr>
            <w:tcW w:w="50" w:type="dxa"/>
            <w:tcMar>
              <w:top w:w="0" w:type="dxa"/>
              <w:left w:w="10" w:type="dxa"/>
              <w:bottom w:w="0" w:type="dxa"/>
              <w:right w:w="10" w:type="dxa"/>
            </w:tcMar>
          </w:tcPr>
          <w:p w14:paraId="5BD26166"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r>
      <w:tr w:rsidR="00464A6E" w14:paraId="6BC95508" w14:textId="77777777">
        <w:tc>
          <w:tcPr>
            <w:tcW w:w="9700" w:type="dxa"/>
            <w:vAlign w:val="center"/>
          </w:tcPr>
          <w:tbl>
            <w:tblPr>
              <w:tblW w:w="8959" w:type="dxa"/>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8959"/>
            </w:tblGrid>
            <w:tr w:rsidR="00464A6E" w14:paraId="776837FB" w14:textId="77777777">
              <w:trPr>
                <w:trHeight w:val="1235"/>
              </w:trPr>
              <w:tc>
                <w:tcPr>
                  <w:tcW w:w="8959" w:type="dxa"/>
                  <w:tcBorders>
                    <w:top w:val="single" w:sz="6" w:space="0" w:color="A0A0A0"/>
                    <w:left w:val="single" w:sz="6" w:space="0" w:color="A0A0A0"/>
                    <w:bottom w:val="single" w:sz="6" w:space="0" w:color="F0F0F0"/>
                    <w:right w:val="single" w:sz="6" w:space="0" w:color="F0F0F0"/>
                  </w:tcBorders>
                  <w:vAlign w:val="center"/>
                </w:tcPr>
                <w:p w14:paraId="6D01C60C"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p w14:paraId="7817A9C6"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 случай че считате, че Вашите права са нарушени, Вие можете да отнесете въпроса по Ваш избор до:</w:t>
                  </w:r>
                </w:p>
                <w:p w14:paraId="3ED91507"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„ПОД – Бъдеще“ АД;</w:t>
                  </w:r>
                </w:p>
                <w:p w14:paraId="48977CC1" w14:textId="33259CFE" w:rsidR="00464A6E" w:rsidRDefault="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21D5D">
                    <w:rPr>
                      <w:rFonts w:ascii="Times New Roman" w:hAnsi="Times New Roman"/>
                      <w:sz w:val="24"/>
                      <w:szCs w:val="24"/>
                    </w:rPr>
                    <w:t>– секторната помирителна комисия или медиатор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7699D5B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Комисията за финансов надзор;</w:t>
                  </w:r>
                </w:p>
                <w:p w14:paraId="06A808DA"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 – съда.</w:t>
                  </w:r>
                </w:p>
              </w:tc>
            </w:tr>
          </w:tbl>
          <w:p w14:paraId="74389F8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c>
          <w:tcPr>
            <w:tcW w:w="50" w:type="dxa"/>
            <w:tcMar>
              <w:top w:w="0" w:type="dxa"/>
              <w:left w:w="10" w:type="dxa"/>
              <w:bottom w:w="0" w:type="dxa"/>
              <w:right w:w="10" w:type="dxa"/>
            </w:tcMar>
          </w:tcPr>
          <w:p w14:paraId="3B4BF38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r>
      <w:tr w:rsidR="00464A6E" w14:paraId="44E36483" w14:textId="77777777">
        <w:tc>
          <w:tcPr>
            <w:tcW w:w="9750" w:type="dxa"/>
            <w:gridSpan w:val="2"/>
            <w:vAlign w:val="center"/>
          </w:tcPr>
          <w:tbl>
            <w:tblPr>
              <w:tblW w:w="9061" w:type="dxa"/>
              <w:tblBorders>
                <w:top w:val="single" w:sz="4" w:space="0" w:color="auto"/>
                <w:left w:val="single" w:sz="4" w:space="0" w:color="auto"/>
                <w:bottom w:val="single" w:sz="4" w:space="0" w:color="auto"/>
                <w:right w:val="single" w:sz="4" w:space="0" w:color="auto"/>
                <w:insideH w:val="single" w:sz="6" w:space="0" w:color="A0A0A0"/>
                <w:insideV w:val="single" w:sz="6" w:space="0" w:color="A0A0A0"/>
              </w:tblBorders>
              <w:tblCellMar>
                <w:left w:w="0" w:type="dxa"/>
                <w:right w:w="0" w:type="dxa"/>
              </w:tblCellMar>
              <w:tblLook w:val="0000" w:firstRow="0" w:lastRow="0" w:firstColumn="0" w:lastColumn="0" w:noHBand="0" w:noVBand="0"/>
            </w:tblPr>
            <w:tblGrid>
              <w:gridCol w:w="4834"/>
              <w:gridCol w:w="4227"/>
            </w:tblGrid>
            <w:tr w:rsidR="00464A6E" w14:paraId="0614C9D9" w14:textId="77777777" w:rsidTr="002F6E72">
              <w:trPr>
                <w:trHeight w:val="1348"/>
              </w:trPr>
              <w:tc>
                <w:tcPr>
                  <w:tcW w:w="4834" w:type="dxa"/>
                  <w:vAlign w:val="center"/>
                </w:tcPr>
                <w:p w14:paraId="38478306" w14:textId="77777777" w:rsidR="00464A6E" w:rsidRDefault="00921D5D">
                  <w:pPr>
                    <w:pStyle w:val="LO-Normal"/>
                    <w:widowControl w:val="0"/>
                    <w:autoSpaceDE w:val="0"/>
                    <w:spacing w:after="0" w:line="240" w:lineRule="auto"/>
                    <w:ind w:firstLine="480"/>
                    <w:jc w:val="both"/>
                    <w:rPr>
                      <w:rFonts w:ascii="Times New Roman" w:hAnsi="Times New Roman"/>
                      <w:b/>
                      <w:bCs/>
                      <w:i/>
                      <w:iCs/>
                      <w:sz w:val="20"/>
                      <w:szCs w:val="20"/>
                    </w:rPr>
                  </w:pPr>
                  <w:r>
                    <w:rPr>
                      <w:rFonts w:ascii="Times New Roman" w:hAnsi="Times New Roman"/>
                      <w:b/>
                      <w:bCs/>
                      <w:i/>
                      <w:iCs/>
                      <w:sz w:val="20"/>
                      <w:szCs w:val="20"/>
                    </w:rPr>
                    <w:t>Моля, прочетете внимателно правилника на фонда и Вашия осигурителен договор, техните разпоредби имат предимство пред този документ!</w:t>
                  </w:r>
                </w:p>
              </w:tc>
              <w:tc>
                <w:tcPr>
                  <w:tcW w:w="4227" w:type="dxa"/>
                  <w:vAlign w:val="center"/>
                </w:tcPr>
                <w:p w14:paraId="3146D98D" w14:textId="4C3971B5" w:rsidR="00464A6E" w:rsidRDefault="00921D5D">
                  <w:pPr>
                    <w:pStyle w:val="LO-Normal"/>
                    <w:widowControl w:val="0"/>
                    <w:autoSpaceDE w:val="0"/>
                    <w:spacing w:after="0" w:line="240" w:lineRule="auto"/>
                    <w:jc w:val="center"/>
                  </w:pPr>
                  <w:r>
                    <w:rPr>
                      <w:rFonts w:ascii="Times New Roman" w:hAnsi="Times New Roman"/>
                      <w:sz w:val="20"/>
                      <w:szCs w:val="20"/>
                    </w:rPr>
                    <w:t xml:space="preserve">Този документ е изготвен на </w:t>
                  </w:r>
                  <w:r w:rsidR="00682649">
                    <w:rPr>
                      <w:rFonts w:ascii="Times New Roman" w:hAnsi="Times New Roman"/>
                      <w:sz w:val="20"/>
                      <w:szCs w:val="20"/>
                    </w:rPr>
                    <w:t>17.12</w:t>
                  </w:r>
                  <w:r w:rsidR="007026B2" w:rsidRPr="00D81D1D">
                    <w:rPr>
                      <w:rFonts w:ascii="Times New Roman" w:hAnsi="Times New Roman"/>
                      <w:sz w:val="20"/>
                      <w:szCs w:val="20"/>
                      <w:lang w:val="ru-RU"/>
                    </w:rPr>
                    <w:t>.202</w:t>
                  </w:r>
                  <w:r w:rsidR="00501269">
                    <w:rPr>
                      <w:rFonts w:ascii="Times New Roman" w:hAnsi="Times New Roman"/>
                      <w:sz w:val="20"/>
                      <w:szCs w:val="20"/>
                    </w:rPr>
                    <w:t>5</w:t>
                  </w:r>
                  <w:r>
                    <w:rPr>
                      <w:rFonts w:ascii="Times New Roman" w:hAnsi="Times New Roman"/>
                      <w:sz w:val="20"/>
                      <w:szCs w:val="20"/>
                    </w:rPr>
                    <w:t>г.</w:t>
                  </w:r>
                  <w:r w:rsidR="00682649">
                    <w:rPr>
                      <w:rFonts w:ascii="Times New Roman" w:hAnsi="Times New Roman"/>
                      <w:sz w:val="20"/>
                      <w:szCs w:val="20"/>
                    </w:rPr>
                    <w:t xml:space="preserve"> в сила от 01.01.2026 г.</w:t>
                  </w:r>
                </w:p>
              </w:tc>
            </w:tr>
          </w:tbl>
          <w:p w14:paraId="66903237"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bl>
    <w:p w14:paraId="6293CB15" w14:textId="77777777" w:rsidR="00464A6E" w:rsidRDefault="00464A6E">
      <w:pPr>
        <w:pStyle w:val="LO-Normal"/>
        <w:rPr>
          <w:rFonts w:ascii="Times New Roman" w:hAnsi="Times New Roman"/>
          <w:sz w:val="24"/>
          <w:szCs w:val="24"/>
        </w:rPr>
      </w:pPr>
    </w:p>
    <w:sectPr w:rsidR="00464A6E">
      <w:pgSz w:w="11906" w:h="16838"/>
      <w:pgMar w:top="1417" w:right="1417" w:bottom="708" w:left="1417" w:header="708"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9F35" w14:textId="77777777" w:rsidR="006C73C3" w:rsidRDefault="006C73C3">
      <w:pPr>
        <w:spacing w:after="0" w:line="240" w:lineRule="auto"/>
      </w:pPr>
      <w:r>
        <w:separator/>
      </w:r>
    </w:p>
  </w:endnote>
  <w:endnote w:type="continuationSeparator" w:id="0">
    <w:p w14:paraId="2AD23969" w14:textId="77777777" w:rsidR="006C73C3" w:rsidRDefault="006C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P_Optimal">
    <w:altName w:val="Trebuchet MS"/>
    <w:charset w:val="CC"/>
    <w:family w:val="swiss"/>
    <w:pitch w:val="variable"/>
    <w:sig w:usb0="80000201" w:usb1="00000048"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7C5B" w14:textId="77777777" w:rsidR="006C73C3" w:rsidRDefault="006C73C3">
      <w:pPr>
        <w:spacing w:after="0" w:line="240" w:lineRule="auto"/>
      </w:pPr>
      <w:r>
        <w:separator/>
      </w:r>
    </w:p>
  </w:footnote>
  <w:footnote w:type="continuationSeparator" w:id="0">
    <w:p w14:paraId="678A83B4" w14:textId="77777777" w:rsidR="006C73C3" w:rsidRDefault="006C7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14A"/>
    <w:multiLevelType w:val="hybridMultilevel"/>
    <w:tmpl w:val="DB6E9D34"/>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 w15:restartNumberingAfterBreak="0">
    <w:nsid w:val="207C6BF2"/>
    <w:multiLevelType w:val="hybridMultilevel"/>
    <w:tmpl w:val="5108F14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23CD33EB"/>
    <w:multiLevelType w:val="multilevel"/>
    <w:tmpl w:val="FFB8E974"/>
    <w:lvl w:ilvl="0">
      <w:start w:val="2"/>
      <w:numFmt w:val="decimal"/>
      <w:lvlText w:val="%1."/>
      <w:lvlJc w:val="left"/>
      <w:pPr>
        <w:ind w:left="0" w:firstLine="202"/>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E6542AE"/>
    <w:multiLevelType w:val="multilevel"/>
    <w:tmpl w:val="7CEA7DA6"/>
    <w:lvl w:ilvl="0">
      <w:start w:val="7"/>
      <w:numFmt w:val="decimal"/>
      <w:lvlText w:val="%1."/>
      <w:lvlJc w:val="left"/>
      <w:pPr>
        <w:ind w:left="0" w:firstLine="259"/>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7883C60"/>
    <w:multiLevelType w:val="hybridMultilevel"/>
    <w:tmpl w:val="2F6CB3F0"/>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5" w15:restartNumberingAfterBreak="0">
    <w:nsid w:val="599C101E"/>
    <w:multiLevelType w:val="multilevel"/>
    <w:tmpl w:val="13EE13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94337756">
    <w:abstractNumId w:val="2"/>
  </w:num>
  <w:num w:numId="2" w16cid:durableId="1526597201">
    <w:abstractNumId w:val="3"/>
  </w:num>
  <w:num w:numId="3" w16cid:durableId="99841569">
    <w:abstractNumId w:val="5"/>
  </w:num>
  <w:num w:numId="4" w16cid:durableId="1447844485">
    <w:abstractNumId w:val="4"/>
  </w:num>
  <w:num w:numId="5" w16cid:durableId="1584486623">
    <w:abstractNumId w:val="1"/>
  </w:num>
  <w:num w:numId="6" w16cid:durableId="119184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4A6E"/>
    <w:rsid w:val="000169EA"/>
    <w:rsid w:val="0002523F"/>
    <w:rsid w:val="00111DCC"/>
    <w:rsid w:val="001C0B34"/>
    <w:rsid w:val="00223A92"/>
    <w:rsid w:val="002678E1"/>
    <w:rsid w:val="002F6E72"/>
    <w:rsid w:val="00300106"/>
    <w:rsid w:val="003A72AA"/>
    <w:rsid w:val="00464A6E"/>
    <w:rsid w:val="004E40D7"/>
    <w:rsid w:val="00501269"/>
    <w:rsid w:val="005132BC"/>
    <w:rsid w:val="00552F1F"/>
    <w:rsid w:val="005D032C"/>
    <w:rsid w:val="005F2F78"/>
    <w:rsid w:val="00682649"/>
    <w:rsid w:val="006C73C3"/>
    <w:rsid w:val="007026B2"/>
    <w:rsid w:val="00710987"/>
    <w:rsid w:val="0082089A"/>
    <w:rsid w:val="008C6788"/>
    <w:rsid w:val="008E57FD"/>
    <w:rsid w:val="00911787"/>
    <w:rsid w:val="00921D5D"/>
    <w:rsid w:val="009D3115"/>
    <w:rsid w:val="00A14D7C"/>
    <w:rsid w:val="00A345C7"/>
    <w:rsid w:val="00A44D01"/>
    <w:rsid w:val="00A4554B"/>
    <w:rsid w:val="00B74E18"/>
    <w:rsid w:val="00CE760C"/>
    <w:rsid w:val="00D248F9"/>
    <w:rsid w:val="00D81D1D"/>
    <w:rsid w:val="00E25CE8"/>
    <w:rsid w:val="00EE7109"/>
    <w:rsid w:val="00EF0E74"/>
    <w:rsid w:val="00F5431D"/>
    <w:rsid w:val="00F567C7"/>
    <w:rsid w:val="00FE1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96E1"/>
  <w15:docId w15:val="{D93DA035-5292-4F33-97A3-C6EC0552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en-US" w:bidi="ar-SA"/>
      </w:rPr>
    </w:rPrDefault>
    <w:pPrDefault>
      <w:pPr>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563C1"/>
      <w:u w:val="single"/>
    </w:rPr>
  </w:style>
  <w:style w:type="character" w:styleId="UnresolvedMention">
    <w:name w:val="Unresolved Mention"/>
    <w:basedOn w:val="DefaultParagraphFont"/>
    <w:qFormat/>
    <w:rPr>
      <w:color w:val="605E5C"/>
      <w:highlight w:val="lightGray"/>
    </w:rPr>
  </w:style>
  <w:style w:type="character" w:customStyle="1" w:styleId="BodyTextIndentChar">
    <w:name w:val="Body Text Indent Char"/>
    <w:basedOn w:val="DefaultParagraphFont"/>
    <w:qFormat/>
    <w:rPr>
      <w:rFonts w:ascii="SP_Optimal" w:eastAsia="Times New Roman" w:hAnsi="SP_Optimal" w:cs="Times New Roman"/>
      <w:sz w:val="24"/>
      <w:szCs w:val="20"/>
      <w:lang w:val="en-US"/>
    </w:rPr>
  </w:style>
  <w:style w:type="character" w:customStyle="1" w:styleId="HeaderChar">
    <w:name w:val="Header Char"/>
    <w:basedOn w:val="DefaultParagraphFont"/>
    <w:qFormat/>
    <w:rPr>
      <w:rFonts w:eastAsia="Times New Roman"/>
      <w:lang w:eastAsia="bg-BG"/>
    </w:rPr>
  </w:style>
  <w:style w:type="character" w:customStyle="1" w:styleId="FooterChar">
    <w:name w:val="Footer Char"/>
    <w:basedOn w:val="DefaultParagraphFont"/>
    <w:qFormat/>
    <w:rPr>
      <w:rFonts w:eastAsia="Times New Roman"/>
      <w:lang w:eastAsia="bg-BG"/>
    </w:rPr>
  </w:style>
  <w:style w:type="character" w:customStyle="1" w:styleId="WWCharLFO1LVL1">
    <w:name w:val="WW_CharLFO1LVL1"/>
    <w:qFormat/>
    <w:rPr>
      <w:rFonts w:ascii="Times New Roman" w:hAnsi="Times New Roman" w:cs="Times New Roman"/>
    </w:rPr>
  </w:style>
  <w:style w:type="character" w:customStyle="1" w:styleId="WWCharLFO2LVL1">
    <w:name w:val="WW_CharLFO2LVL1"/>
    <w:qFormat/>
    <w:rPr>
      <w:rFonts w:ascii="Times New Roman" w:hAnsi="Times New Roman" w:cs="Times New Roman"/>
    </w:rPr>
  </w:style>
  <w:style w:type="character" w:customStyle="1" w:styleId="InternetLink">
    <w:name w:val="Internet Link"/>
    <w:rPr>
      <w:color w:val="000080"/>
      <w:u w:val="single"/>
    </w:rPr>
  </w:style>
  <w:style w:type="paragraph" w:customStyle="1" w:styleId="LO-Normal">
    <w:name w:val="LO-Normal"/>
    <w:qFormat/>
    <w:pPr>
      <w:suppressAutoHyphens/>
      <w:spacing w:after="160"/>
    </w:pPr>
    <w:rPr>
      <w:rFonts w:eastAsia="Times New Roman"/>
      <w:lang w:eastAsia="bg-BG"/>
    </w:rPr>
  </w:style>
  <w:style w:type="paragraph" w:styleId="ListParagraph">
    <w:name w:val="List Paragraph"/>
    <w:basedOn w:val="LO-Normal"/>
    <w:uiPriority w:val="34"/>
    <w:qFormat/>
    <w:pPr>
      <w:ind w:left="720"/>
    </w:pPr>
  </w:style>
  <w:style w:type="paragraph" w:styleId="BodyTextIndent">
    <w:name w:val="Body Text Indent"/>
    <w:basedOn w:val="LO-Normal"/>
    <w:qFormat/>
    <w:pPr>
      <w:spacing w:after="0" w:line="240" w:lineRule="auto"/>
      <w:ind w:right="900" w:firstLine="567"/>
      <w:jc w:val="both"/>
    </w:pPr>
    <w:rPr>
      <w:rFonts w:ascii="SP_Optimal" w:hAnsi="SP_Optimal"/>
      <w:sz w:val="24"/>
      <w:szCs w:val="20"/>
      <w:lang w:val="en-US" w:eastAsia="en-US"/>
    </w:rPr>
  </w:style>
  <w:style w:type="paragraph" w:styleId="Header">
    <w:name w:val="header"/>
    <w:basedOn w:val="LO-Normal"/>
    <w:pPr>
      <w:tabs>
        <w:tab w:val="center" w:pos="4536"/>
        <w:tab w:val="right" w:pos="9072"/>
      </w:tabs>
      <w:spacing w:after="0" w:line="240" w:lineRule="auto"/>
    </w:pPr>
  </w:style>
  <w:style w:type="paragraph" w:styleId="Footer">
    <w:name w:val="footer"/>
    <w:basedOn w:val="LO-Normal"/>
    <w:pPr>
      <w:tabs>
        <w:tab w:val="center" w:pos="4536"/>
        <w:tab w:val="right" w:pos="9072"/>
      </w:tabs>
      <w:spacing w:after="0" w:line="240" w:lineRule="auto"/>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c.bg/" TargetMode="External"/><Relationship Id="rId5" Type="http://schemas.openxmlformats.org/officeDocument/2006/relationships/footnotes" Target="footnotes.xml"/><Relationship Id="rId10" Type="http://schemas.openxmlformats.org/officeDocument/2006/relationships/hyperlink" Target="http://www.pod-budeshte.bg/"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DPF!$A$3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DPF!$B$2:$F$2</c:f>
              <c:strCache>
                <c:ptCount val="5"/>
                <c:pt idx="0">
                  <c:v>2020г.</c:v>
                </c:pt>
                <c:pt idx="1">
                  <c:v>2021г.</c:v>
                </c:pt>
                <c:pt idx="2">
                  <c:v>2022г.</c:v>
                </c:pt>
                <c:pt idx="3">
                  <c:v>2023г.</c:v>
                </c:pt>
                <c:pt idx="4">
                  <c:v>2024г.</c:v>
                </c:pt>
              </c:strCache>
            </c:strRef>
          </c:cat>
          <c:val>
            <c:numRef>
              <c:f>DPF!$B$3:$F$3</c:f>
              <c:numCache>
                <c:formatCode>0.00%</c:formatCode>
                <c:ptCount val="5"/>
                <c:pt idx="0">
                  <c:v>1.0314614218640328E-2</c:v>
                </c:pt>
                <c:pt idx="1">
                  <c:v>7.1767052107728269E-2</c:v>
                </c:pt>
                <c:pt idx="2">
                  <c:v>-5.2647302337888391E-2</c:v>
                </c:pt>
                <c:pt idx="3">
                  <c:v>2.8489309751416725E-2</c:v>
                </c:pt>
                <c:pt idx="4">
                  <c:v>0.13340224789971167</c:v>
                </c:pt>
              </c:numCache>
            </c:numRef>
          </c:val>
          <c:extLst>
            <c:ext xmlns:c16="http://schemas.microsoft.com/office/drawing/2014/chart" uri="{C3380CC4-5D6E-409C-BE32-E72D297353CC}">
              <c16:uniqueId val="{00000000-EF76-4654-BA61-0BD4F5B1F0C1}"/>
            </c:ext>
          </c:extLst>
        </c:ser>
        <c:dLbls>
          <c:showLegendKey val="0"/>
          <c:showVal val="0"/>
          <c:showCatName val="0"/>
          <c:showSerName val="0"/>
          <c:showPercent val="0"/>
          <c:showBubbleSize val="0"/>
        </c:dLbls>
        <c:gapWidth val="150"/>
        <c:axId val="112959599"/>
        <c:axId val="1"/>
      </c:barChart>
      <c:catAx>
        <c:axId val="11295959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1295959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DPF!$A$31</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DPF!$B$30:$F$30</c:f>
              <c:strCache>
                <c:ptCount val="5"/>
                <c:pt idx="0">
                  <c:v>2020г.</c:v>
                </c:pt>
                <c:pt idx="1">
                  <c:v>2021г.</c:v>
                </c:pt>
                <c:pt idx="2">
                  <c:v>2022г.</c:v>
                </c:pt>
                <c:pt idx="3">
                  <c:v>2023г.</c:v>
                </c:pt>
                <c:pt idx="4">
                  <c:v>2024г.</c:v>
                </c:pt>
              </c:strCache>
            </c:strRef>
          </c:cat>
          <c:val>
            <c:numRef>
              <c:f>DPF!$B$31:$F$31</c:f>
              <c:numCache>
                <c:formatCode>0.00%</c:formatCode>
                <c:ptCount val="5"/>
                <c:pt idx="0">
                  <c:v>4.6383036550988493E-2</c:v>
                </c:pt>
                <c:pt idx="1">
                  <c:v>5.4178239351663285E-2</c:v>
                </c:pt>
                <c:pt idx="2">
                  <c:v>5.6657066089671415E-2</c:v>
                </c:pt>
                <c:pt idx="3">
                  <c:v>4.167456182571054E-2</c:v>
                </c:pt>
                <c:pt idx="4">
                  <c:v>7.4441298422343899E-2</c:v>
                </c:pt>
              </c:numCache>
            </c:numRef>
          </c:val>
          <c:extLst>
            <c:ext xmlns:c16="http://schemas.microsoft.com/office/drawing/2014/chart" uri="{C3380CC4-5D6E-409C-BE32-E72D297353CC}">
              <c16:uniqueId val="{00000000-88E7-4F22-BC88-D33D45F8EEA4}"/>
            </c:ext>
          </c:extLst>
        </c:ser>
        <c:dLbls>
          <c:showLegendKey val="0"/>
          <c:showVal val="0"/>
          <c:showCatName val="0"/>
          <c:showSerName val="0"/>
          <c:showPercent val="0"/>
          <c:showBubbleSize val="0"/>
        </c:dLbls>
        <c:gapWidth val="150"/>
        <c:axId val="112974959"/>
        <c:axId val="1"/>
      </c:barChart>
      <c:catAx>
        <c:axId val="11297495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1297495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dc:description/>
  <cp:lastModifiedBy>Вероника Стоянова</cp:lastModifiedBy>
  <cp:revision>25</cp:revision>
  <dcterms:created xsi:type="dcterms:W3CDTF">2019-05-20T11:51:00Z</dcterms:created>
  <dcterms:modified xsi:type="dcterms:W3CDTF">2025-12-17T09:12:00Z</dcterms:modified>
  <dc:language>bg-BG</dc:language>
</cp:coreProperties>
</file>