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7E2F" w14:textId="42B269DF" w:rsidR="0017361C" w:rsidRPr="0017361C" w:rsidRDefault="0017361C" w:rsidP="0017361C">
      <w:pPr>
        <w:shd w:val="clear" w:color="auto" w:fill="FFFFFF"/>
        <w:spacing w:line="240" w:lineRule="auto"/>
        <w:contextualSpacing/>
        <w:rPr>
          <w:rFonts w:ascii="Times New Roman" w:hAnsi="Times New Roman" w:cs="Times New Roman"/>
          <w:color w:val="000000"/>
          <w:spacing w:val="-1"/>
          <w:sz w:val="16"/>
          <w:szCs w:val="16"/>
        </w:rPr>
      </w:pPr>
      <w:r>
        <w:rPr>
          <w:rFonts w:ascii="Times New Roman" w:hAnsi="Times New Roman" w:cs="Times New Roman"/>
          <w:color w:val="000000"/>
          <w:spacing w:val="-1"/>
          <w:sz w:val="16"/>
          <w:szCs w:val="16"/>
        </w:rPr>
        <w:t xml:space="preserve">                                                                                                                           </w:t>
      </w:r>
      <w:r w:rsidR="00DD5E15" w:rsidRPr="00EA2193">
        <w:rPr>
          <w:rFonts w:ascii="Times New Roman" w:hAnsi="Times New Roman" w:cs="Times New Roman"/>
          <w:color w:val="000000"/>
          <w:spacing w:val="-1"/>
          <w:sz w:val="16"/>
          <w:szCs w:val="16"/>
        </w:rPr>
        <w:t>Приложение № 1а</w:t>
      </w:r>
      <w:r w:rsidRPr="0017361C">
        <w:rPr>
          <w:rFonts w:ascii="Times New Roman" w:hAnsi="Times New Roman" w:cs="Times New Roman"/>
          <w:color w:val="000000"/>
          <w:spacing w:val="-1"/>
          <w:sz w:val="16"/>
          <w:szCs w:val="16"/>
        </w:rPr>
        <w:t xml:space="preserve"> </w:t>
      </w:r>
      <w:r>
        <w:rPr>
          <w:rFonts w:ascii="Times New Roman" w:hAnsi="Times New Roman" w:cs="Times New Roman"/>
          <w:color w:val="000000"/>
          <w:spacing w:val="-1"/>
          <w:sz w:val="16"/>
          <w:szCs w:val="16"/>
        </w:rPr>
        <w:t>към чл.3, ал.10 от Наредба № 3 на КФН</w:t>
      </w:r>
      <w:r w:rsidRPr="0017361C">
        <w:rPr>
          <w:rFonts w:ascii="Times New Roman" w:hAnsi="Times New Roman" w:cs="Times New Roman"/>
          <w:color w:val="000000"/>
          <w:spacing w:val="-1"/>
          <w:sz w:val="16"/>
          <w:szCs w:val="16"/>
        </w:rPr>
        <w:t xml:space="preserve">                                                   </w:t>
      </w:r>
    </w:p>
    <w:p w14:paraId="10118626" w14:textId="6808C2D0" w:rsidR="00DD5E15" w:rsidRPr="00EA2193" w:rsidRDefault="00DD5E15" w:rsidP="00DD5E15">
      <w:pPr>
        <w:shd w:val="clear" w:color="auto" w:fill="FFFFFF"/>
        <w:spacing w:line="240" w:lineRule="auto"/>
        <w:ind w:left="5416" w:firstLine="2"/>
        <w:contextualSpacing/>
        <w:rPr>
          <w:rFonts w:ascii="Times New Roman" w:hAnsi="Times New Roman" w:cs="Times New Roman"/>
          <w:color w:val="000000"/>
          <w:spacing w:val="-1"/>
          <w:sz w:val="16"/>
          <w:szCs w:val="16"/>
        </w:rPr>
      </w:pPr>
    </w:p>
    <w:p w14:paraId="7817789E" w14:textId="6AE3F4D3" w:rsidR="00DD5E15" w:rsidRDefault="00DD5E15" w:rsidP="0017361C">
      <w:pPr>
        <w:shd w:val="clear" w:color="auto" w:fill="FFFFFF"/>
        <w:spacing w:line="240" w:lineRule="auto"/>
        <w:ind w:left="5416" w:firstLine="2"/>
        <w:contextualSpacing/>
        <w:rPr>
          <w:rFonts w:ascii="Times New Roman" w:hAnsi="Times New Roman" w:cs="Times New Roman"/>
          <w:color w:val="000000"/>
          <w:spacing w:val="-1"/>
          <w:sz w:val="16"/>
          <w:szCs w:val="16"/>
        </w:rPr>
      </w:pPr>
      <w:r w:rsidRPr="00EA2193">
        <w:rPr>
          <w:rFonts w:ascii="Times New Roman" w:hAnsi="Times New Roman" w:cs="Times New Roman"/>
          <w:color w:val="000000"/>
          <w:spacing w:val="-1"/>
          <w:sz w:val="16"/>
          <w:szCs w:val="16"/>
        </w:rPr>
        <w:t xml:space="preserve">                                          </w:t>
      </w:r>
    </w:p>
    <w:p w14:paraId="42C1939E" w14:textId="377B417B" w:rsidR="005A51EF" w:rsidRPr="00B25479" w:rsidRDefault="005A51EF" w:rsidP="00DD5E15">
      <w:pPr>
        <w:shd w:val="clear" w:color="auto" w:fill="FFFFFF"/>
        <w:spacing w:before="192" w:after="0"/>
        <w:ind w:left="2045"/>
        <w:rPr>
          <w:rFonts w:ascii="Times New Roman" w:hAnsi="Times New Roman" w:cs="Times New Roman"/>
          <w:sz w:val="24"/>
          <w:szCs w:val="24"/>
        </w:rPr>
      </w:pPr>
      <w:r w:rsidRPr="00B25479">
        <w:rPr>
          <w:rFonts w:ascii="Times New Roman" w:hAnsi="Times New Roman" w:cs="Times New Roman"/>
          <w:b/>
          <w:bCs/>
          <w:color w:val="000000"/>
          <w:sz w:val="24"/>
          <w:szCs w:val="24"/>
        </w:rPr>
        <w:t>ОСНОВНА ИНФОРМАЦИЯ ЗА ОСИГУРЕНИТЕ ЛИЦА</w:t>
      </w:r>
    </w:p>
    <w:p w14:paraId="1748FCED" w14:textId="77777777" w:rsidR="005A51EF" w:rsidRDefault="005A51EF" w:rsidP="005A51EF">
      <w:pPr>
        <w:spacing w:line="1" w:lineRule="exact"/>
        <w:rPr>
          <w:sz w:val="2"/>
          <w:szCs w:val="2"/>
        </w:rPr>
      </w:pPr>
    </w:p>
    <w:p w14:paraId="661BD27B" w14:textId="109485A2" w:rsidR="005A51EF" w:rsidRDefault="005A51EF" w:rsidP="005A51EF">
      <w:pPr>
        <w:shd w:val="clear" w:color="auto" w:fill="FFFFFF"/>
        <w:spacing w:before="274"/>
        <w:ind w:left="-142"/>
        <w:rPr>
          <w:lang w:val="en-US"/>
        </w:rPr>
      </w:pPr>
      <w:r>
        <w:rPr>
          <w:noProof/>
        </w:rPr>
        <mc:AlternateContent>
          <mc:Choice Requires="wps">
            <w:drawing>
              <wp:anchor distT="0" distB="0" distL="114300" distR="114300" simplePos="0" relativeHeight="251659264" behindDoc="0" locked="0" layoutInCell="1" allowOverlap="1" wp14:anchorId="66A0A8C2" wp14:editId="285C2BB8">
                <wp:simplePos x="0" y="0"/>
                <wp:positionH relativeFrom="column">
                  <wp:posOffset>2805430</wp:posOffset>
                </wp:positionH>
                <wp:positionV relativeFrom="paragraph">
                  <wp:posOffset>189230</wp:posOffset>
                </wp:positionV>
                <wp:extent cx="3403600" cy="285750"/>
                <wp:effectExtent l="0" t="0" r="25400" b="19050"/>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85750"/>
                        </a:xfrm>
                        <a:prstGeom prst="rect">
                          <a:avLst/>
                        </a:prstGeom>
                        <a:solidFill>
                          <a:srgbClr val="FFFFFF"/>
                        </a:solidFill>
                        <a:ln w="9525">
                          <a:solidFill>
                            <a:srgbClr val="000000"/>
                          </a:solidFill>
                          <a:miter lim="800000"/>
                          <a:headEnd/>
                          <a:tailEnd/>
                        </a:ln>
                      </wps:spPr>
                      <wps:txbx>
                        <w:txbxContent>
                          <w:p w14:paraId="6914D19E" w14:textId="77777777" w:rsidR="005A51EF" w:rsidRPr="005A51EF" w:rsidRDefault="005A51EF" w:rsidP="005A51EF">
                            <w:pPr>
                              <w:rPr>
                                <w:rFonts w:ascii="Times New Roman" w:hAnsi="Times New Roman" w:cs="Times New Roman"/>
                                <w:b/>
                              </w:rPr>
                            </w:pPr>
                            <w:r w:rsidRPr="005A51EF">
                              <w:rPr>
                                <w:rFonts w:ascii="Times New Roman" w:hAnsi="Times New Roman" w:cs="Times New Roman"/>
                                <w:b/>
                              </w:rPr>
                              <w:t xml:space="preserve">“Пенсионно осигурително дружество - Бъдеще” АД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0A8C2" id="_x0000_t202" coordsize="21600,21600" o:spt="202" path="m,l,21600r21600,l21600,xe">
                <v:stroke joinstyle="miter"/>
                <v:path gradientshapeok="t" o:connecttype="rect"/>
              </v:shapetype>
              <v:shape id="Text Box 52" o:spid="_x0000_s1026" type="#_x0000_t202" style="position:absolute;left:0;text-align:left;margin-left:220.9pt;margin-top:14.9pt;width:268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">
                <v:textbox>
                  <w:txbxContent>
                    <w:p w14:paraId="6914D19E" w14:textId="77777777" w:rsidR="005A51EF" w:rsidRPr="005A51EF" w:rsidRDefault="005A51EF" w:rsidP="005A51EF">
                      <w:pPr>
                        <w:rPr>
                          <w:rFonts w:ascii="Times New Roman" w:hAnsi="Times New Roman" w:cs="Times New Roman"/>
                          <w:b/>
                        </w:rPr>
                      </w:pPr>
                      <w:r w:rsidRPr="005A51EF">
                        <w:rPr>
                          <w:rFonts w:ascii="Times New Roman" w:hAnsi="Times New Roman" w:cs="Times New Roman"/>
                          <w:b/>
                        </w:rPr>
                        <w:t xml:space="preserve">“Пенсионно осигурително дружество - Бъдеще” АД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2AF176F" wp14:editId="0BAD800C">
                <wp:simplePos x="0" y="0"/>
                <wp:positionH relativeFrom="column">
                  <wp:posOffset>2805430</wp:posOffset>
                </wp:positionH>
                <wp:positionV relativeFrom="paragraph">
                  <wp:posOffset>484505</wp:posOffset>
                </wp:positionV>
                <wp:extent cx="3403600" cy="295275"/>
                <wp:effectExtent l="0" t="0" r="25400" b="28575"/>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95275"/>
                        </a:xfrm>
                        <a:prstGeom prst="rect">
                          <a:avLst/>
                        </a:prstGeom>
                        <a:solidFill>
                          <a:srgbClr val="FFFFFF"/>
                        </a:solidFill>
                        <a:ln w="9525">
                          <a:solidFill>
                            <a:srgbClr val="000000"/>
                          </a:solidFill>
                          <a:miter lim="800000"/>
                          <a:headEnd/>
                          <a:tailEnd/>
                        </a:ln>
                      </wps:spPr>
                      <wps:txbx>
                        <w:txbxContent>
                          <w:p w14:paraId="3398C9EC" w14:textId="13FB89C5" w:rsidR="005A51EF" w:rsidRPr="005A51EF" w:rsidRDefault="005A51EF" w:rsidP="005A51EF">
                            <w:pPr>
                              <w:rPr>
                                <w:rFonts w:ascii="Times New Roman" w:hAnsi="Times New Roman" w:cs="Times New Roman"/>
                                <w:b/>
                              </w:rPr>
                            </w:pPr>
                            <w:r w:rsidRPr="008664B1">
                              <w:rPr>
                                <w:rFonts w:ascii="Arial" w:hAnsi="Arial" w:cs="Arial"/>
                                <w:b/>
                                <w:lang w:val="en-US"/>
                              </w:rPr>
                              <w:t xml:space="preserve"> </w:t>
                            </w:r>
                            <w:r w:rsidR="00591277">
                              <w:rPr>
                                <w:rFonts w:ascii="Times New Roman" w:hAnsi="Times New Roman" w:cs="Times New Roman"/>
                                <w:b/>
                              </w:rPr>
                              <w:t>Професионален</w:t>
                            </w:r>
                            <w:r w:rsidRPr="005A51EF">
                              <w:rPr>
                                <w:rFonts w:ascii="Times New Roman" w:hAnsi="Times New Roman" w:cs="Times New Roman"/>
                                <w:b/>
                              </w:rPr>
                              <w:t xml:space="preserve">  пенсионен фонд</w:t>
                            </w:r>
                            <w:r w:rsidRPr="005A51EF">
                              <w:rPr>
                                <w:rFonts w:ascii="Times New Roman" w:hAnsi="Times New Roman" w:cs="Times New Roman"/>
                                <w:b/>
                                <w:lang w:val="en-US"/>
                              </w:rPr>
                              <w:t xml:space="preserve"> - </w:t>
                            </w:r>
                            <w:r w:rsidRPr="005A51EF">
                              <w:rPr>
                                <w:rFonts w:ascii="Times New Roman" w:hAnsi="Times New Roman" w:cs="Times New Roman"/>
                                <w:b/>
                              </w:rPr>
                              <w:t>Бъдеще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F176F" id="Text Box 53" o:spid="_x0000_s1027" type="#_x0000_t202" style="position:absolute;left:0;text-align:left;margin-left:220.9pt;margin-top:38.15pt;width:268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">
                <v:textbox>
                  <w:txbxContent>
                    <w:p w14:paraId="3398C9EC" w14:textId="13FB89C5" w:rsidR="005A51EF" w:rsidRPr="005A51EF" w:rsidRDefault="005A51EF" w:rsidP="005A51EF">
                      <w:pPr>
                        <w:rPr>
                          <w:rFonts w:ascii="Times New Roman" w:hAnsi="Times New Roman" w:cs="Times New Roman"/>
                          <w:b/>
                        </w:rPr>
                      </w:pPr>
                      <w:r w:rsidRPr="008664B1">
                        <w:rPr>
                          <w:rFonts w:ascii="Arial" w:hAnsi="Arial" w:cs="Arial"/>
                          <w:b/>
                          <w:lang w:val="en-US"/>
                        </w:rPr>
                        <w:t xml:space="preserve"> </w:t>
                      </w:r>
                      <w:r w:rsidR="00591277">
                        <w:rPr>
                          <w:rFonts w:ascii="Times New Roman" w:hAnsi="Times New Roman" w:cs="Times New Roman"/>
                          <w:b/>
                        </w:rPr>
                        <w:t>Професионален</w:t>
                      </w:r>
                      <w:r w:rsidRPr="005A51EF">
                        <w:rPr>
                          <w:rFonts w:ascii="Times New Roman" w:hAnsi="Times New Roman" w:cs="Times New Roman"/>
                          <w:b/>
                        </w:rPr>
                        <w:t xml:space="preserve">  пенсионен фонд</w:t>
                      </w:r>
                      <w:r w:rsidRPr="005A51EF">
                        <w:rPr>
                          <w:rFonts w:ascii="Times New Roman" w:hAnsi="Times New Roman" w:cs="Times New Roman"/>
                          <w:b/>
                          <w:lang w:val="en-US"/>
                        </w:rPr>
                        <w:t xml:space="preserve"> - </w:t>
                      </w:r>
                      <w:r w:rsidRPr="005A51EF">
                        <w:rPr>
                          <w:rFonts w:ascii="Times New Roman" w:hAnsi="Times New Roman" w:cs="Times New Roman"/>
                          <w:b/>
                        </w:rPr>
                        <w:t>Бъдеще</w:t>
                      </w:r>
                    </w:p>
                  </w:txbxContent>
                </v:textbox>
              </v:shape>
            </w:pict>
          </mc:Fallback>
        </mc:AlternateContent>
      </w:r>
      <w:r w:rsidR="00B67A29">
        <w:rPr>
          <w:noProof/>
        </w:rPr>
        <w:drawing>
          <wp:inline distT="0" distB="0" distL="0" distR="0" wp14:anchorId="266883F7" wp14:editId="0FAC6FF3">
            <wp:extent cx="5760720" cy="532130"/>
            <wp:effectExtent l="0" t="0" r="0" b="127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8">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p>
    <w:p w14:paraId="5466B656" w14:textId="77777777" w:rsidR="005A51EF" w:rsidRPr="008664B1" w:rsidRDefault="005A51EF" w:rsidP="005A51EF">
      <w:pPr>
        <w:shd w:val="clear" w:color="auto" w:fill="FFFFFF"/>
        <w:tabs>
          <w:tab w:val="left" w:pos="2070"/>
        </w:tabs>
        <w:spacing w:before="274"/>
        <w:ind w:left="-2268"/>
        <w:rPr>
          <w:sz w:val="2"/>
          <w:szCs w:val="2"/>
          <w:lang w:val="en-US"/>
        </w:rPr>
      </w:pPr>
      <w:r>
        <w:rPr>
          <w:lang w:val="en-US"/>
        </w:rPr>
        <w:t xml:space="preserve">   </w:t>
      </w:r>
      <w:r>
        <w:rPr>
          <w:lang w:val="en-US"/>
        </w:rPr>
        <w:tab/>
      </w:r>
    </w:p>
    <w:tbl>
      <w:tblPr>
        <w:tblpPr w:leftFromText="180" w:rightFromText="180" w:vertAnchor="text" w:horzAnchor="margin" w:tblpY="10"/>
        <w:tblW w:w="9773" w:type="dxa"/>
        <w:tblLayout w:type="fixed"/>
        <w:tblCellMar>
          <w:left w:w="40" w:type="dxa"/>
          <w:right w:w="40" w:type="dxa"/>
        </w:tblCellMar>
        <w:tblLook w:val="0000" w:firstRow="0" w:lastRow="0" w:firstColumn="0" w:lastColumn="0" w:noHBand="0" w:noVBand="0"/>
      </w:tblPr>
      <w:tblGrid>
        <w:gridCol w:w="702"/>
        <w:gridCol w:w="5680"/>
        <w:gridCol w:w="3391"/>
      </w:tblGrid>
      <w:tr w:rsidR="005A51EF" w:rsidRPr="005A51EF" w14:paraId="2BFE3DD3" w14:textId="77777777" w:rsidTr="00DD5E15">
        <w:trPr>
          <w:trHeight w:hRule="exact" w:val="463"/>
        </w:trPr>
        <w:tc>
          <w:tcPr>
            <w:tcW w:w="9773" w:type="dxa"/>
            <w:gridSpan w:val="3"/>
            <w:tcBorders>
              <w:top w:val="single" w:sz="6" w:space="0" w:color="auto"/>
              <w:left w:val="single" w:sz="6" w:space="0" w:color="auto"/>
              <w:bottom w:val="single" w:sz="6" w:space="0" w:color="auto"/>
              <w:right w:val="single" w:sz="6" w:space="0" w:color="auto"/>
            </w:tcBorders>
            <w:shd w:val="clear" w:color="auto" w:fill="FFFFFF"/>
          </w:tcPr>
          <w:p w14:paraId="036DF28A" w14:textId="77777777" w:rsidR="005A51EF" w:rsidRPr="005A51EF" w:rsidRDefault="005A51EF" w:rsidP="004271B2">
            <w:pPr>
              <w:shd w:val="clear" w:color="auto" w:fill="FFFFFF"/>
              <w:jc w:val="center"/>
              <w:rPr>
                <w:rFonts w:ascii="Times New Roman" w:hAnsi="Times New Roman" w:cs="Times New Roman"/>
              </w:rPr>
            </w:pPr>
            <w:r w:rsidRPr="005A51EF">
              <w:rPr>
                <w:rFonts w:ascii="Times New Roman" w:hAnsi="Times New Roman" w:cs="Times New Roman"/>
                <w:b/>
                <w:bCs/>
                <w:color w:val="000000"/>
                <w:spacing w:val="-1"/>
              </w:rPr>
              <w:t>Акционери, притежаващи 10 и над 10 на сто от капитала на</w:t>
            </w:r>
            <w:r w:rsidRPr="002B742C">
              <w:rPr>
                <w:rFonts w:ascii="Times New Roman" w:hAnsi="Times New Roman" w:cs="Times New Roman"/>
                <w:b/>
                <w:bCs/>
                <w:color w:val="000000"/>
                <w:spacing w:val="-1"/>
                <w:lang w:val="ru-RU"/>
              </w:rPr>
              <w:t xml:space="preserve"> “</w:t>
            </w:r>
            <w:r w:rsidRPr="005A51EF">
              <w:rPr>
                <w:rFonts w:ascii="Times New Roman" w:hAnsi="Times New Roman" w:cs="Times New Roman"/>
                <w:b/>
                <w:bCs/>
                <w:color w:val="000000"/>
                <w:spacing w:val="-1"/>
              </w:rPr>
              <w:t>ПОД-Бъдеще</w:t>
            </w:r>
            <w:r w:rsidRPr="002B742C">
              <w:rPr>
                <w:rFonts w:ascii="Times New Roman" w:hAnsi="Times New Roman" w:cs="Times New Roman"/>
                <w:b/>
                <w:bCs/>
                <w:color w:val="000000"/>
                <w:spacing w:val="-1"/>
                <w:lang w:val="ru-RU"/>
              </w:rPr>
              <w:t>”</w:t>
            </w:r>
            <w:r w:rsidRPr="005A51EF">
              <w:rPr>
                <w:rFonts w:ascii="Times New Roman" w:hAnsi="Times New Roman" w:cs="Times New Roman"/>
                <w:b/>
                <w:bCs/>
                <w:color w:val="000000"/>
                <w:spacing w:val="-1"/>
              </w:rPr>
              <w:t>АД</w:t>
            </w:r>
          </w:p>
        </w:tc>
      </w:tr>
      <w:tr w:rsidR="005A51EF" w:rsidRPr="005A51EF" w14:paraId="79410129" w14:textId="77777777" w:rsidTr="00DD5E15">
        <w:trPr>
          <w:trHeight w:hRule="exact" w:val="513"/>
        </w:trPr>
        <w:tc>
          <w:tcPr>
            <w:tcW w:w="702" w:type="dxa"/>
            <w:tcBorders>
              <w:top w:val="single" w:sz="6" w:space="0" w:color="auto"/>
              <w:left w:val="single" w:sz="6" w:space="0" w:color="auto"/>
              <w:bottom w:val="single" w:sz="6" w:space="0" w:color="auto"/>
              <w:right w:val="single" w:sz="6" w:space="0" w:color="auto"/>
            </w:tcBorders>
            <w:shd w:val="clear" w:color="auto" w:fill="FFFFFF"/>
          </w:tcPr>
          <w:p w14:paraId="53968924" w14:textId="77777777" w:rsidR="005A51EF" w:rsidRPr="005A51EF" w:rsidRDefault="005A51EF" w:rsidP="004271B2">
            <w:pPr>
              <w:shd w:val="clear" w:color="auto" w:fill="FFFFFF"/>
              <w:jc w:val="center"/>
              <w:rPr>
                <w:rFonts w:ascii="Times New Roman" w:hAnsi="Times New Roman" w:cs="Times New Roman"/>
              </w:rPr>
            </w:pPr>
            <w:r w:rsidRPr="005A51EF">
              <w:rPr>
                <w:rFonts w:ascii="Times New Roman" w:hAnsi="Times New Roman" w:cs="Times New Roman"/>
                <w:color w:val="000000"/>
              </w:rPr>
              <w:t>№</w:t>
            </w:r>
          </w:p>
        </w:tc>
        <w:tc>
          <w:tcPr>
            <w:tcW w:w="5680" w:type="dxa"/>
            <w:tcBorders>
              <w:top w:val="single" w:sz="6" w:space="0" w:color="auto"/>
              <w:left w:val="single" w:sz="6" w:space="0" w:color="auto"/>
              <w:bottom w:val="single" w:sz="6" w:space="0" w:color="auto"/>
              <w:right w:val="single" w:sz="6" w:space="0" w:color="auto"/>
            </w:tcBorders>
            <w:shd w:val="clear" w:color="auto" w:fill="FFFFFF"/>
          </w:tcPr>
          <w:p w14:paraId="5117FA7A" w14:textId="77777777" w:rsidR="005A51EF" w:rsidRPr="005A51EF" w:rsidRDefault="005A51EF" w:rsidP="004271B2">
            <w:pPr>
              <w:shd w:val="clear" w:color="auto" w:fill="FFFFFF"/>
              <w:jc w:val="center"/>
              <w:rPr>
                <w:rFonts w:ascii="Times New Roman" w:hAnsi="Times New Roman" w:cs="Times New Roman"/>
              </w:rPr>
            </w:pPr>
            <w:r w:rsidRPr="005A51EF">
              <w:rPr>
                <w:rFonts w:ascii="Times New Roman" w:hAnsi="Times New Roman" w:cs="Times New Roman"/>
                <w:color w:val="000000"/>
                <w:spacing w:val="-1"/>
              </w:rPr>
              <w:t>Име, презиме, фамилия за ФЛ /Наименование и ЕИК за ЮЛ</w:t>
            </w:r>
          </w:p>
        </w:tc>
        <w:tc>
          <w:tcPr>
            <w:tcW w:w="3391" w:type="dxa"/>
            <w:tcBorders>
              <w:top w:val="single" w:sz="6" w:space="0" w:color="auto"/>
              <w:left w:val="single" w:sz="6" w:space="0" w:color="auto"/>
              <w:bottom w:val="single" w:sz="6" w:space="0" w:color="auto"/>
              <w:right w:val="single" w:sz="6" w:space="0" w:color="auto"/>
            </w:tcBorders>
            <w:shd w:val="clear" w:color="auto" w:fill="FFFFFF"/>
          </w:tcPr>
          <w:p w14:paraId="1FF0F057" w14:textId="77777777" w:rsidR="005A51EF" w:rsidRPr="005A51EF" w:rsidRDefault="005A51EF" w:rsidP="004271B2">
            <w:pPr>
              <w:shd w:val="clear" w:color="auto" w:fill="FFFFFF"/>
              <w:rPr>
                <w:rFonts w:ascii="Times New Roman" w:hAnsi="Times New Roman" w:cs="Times New Roman"/>
              </w:rPr>
            </w:pPr>
            <w:r w:rsidRPr="005A51EF">
              <w:rPr>
                <w:rFonts w:ascii="Times New Roman" w:hAnsi="Times New Roman" w:cs="Times New Roman"/>
                <w:color w:val="000000"/>
                <w:spacing w:val="-1"/>
              </w:rPr>
              <w:t>Размер на участието в капитала</w:t>
            </w:r>
          </w:p>
        </w:tc>
      </w:tr>
      <w:tr w:rsidR="005A51EF" w:rsidRPr="005A51EF" w14:paraId="2FC79A84" w14:textId="77777777" w:rsidTr="00043D3B">
        <w:trPr>
          <w:trHeight w:hRule="exact" w:val="457"/>
        </w:trPr>
        <w:tc>
          <w:tcPr>
            <w:tcW w:w="702" w:type="dxa"/>
            <w:tcBorders>
              <w:top w:val="single" w:sz="6" w:space="0" w:color="auto"/>
              <w:left w:val="single" w:sz="6" w:space="0" w:color="auto"/>
              <w:bottom w:val="single" w:sz="6" w:space="0" w:color="auto"/>
              <w:right w:val="single" w:sz="6" w:space="0" w:color="auto"/>
            </w:tcBorders>
            <w:shd w:val="clear" w:color="auto" w:fill="FFFFFF"/>
          </w:tcPr>
          <w:p w14:paraId="4DD66DA4" w14:textId="77777777" w:rsidR="005A51EF" w:rsidRPr="005A51EF" w:rsidRDefault="005A51EF" w:rsidP="004271B2">
            <w:pPr>
              <w:shd w:val="clear" w:color="auto" w:fill="FFFFFF"/>
              <w:jc w:val="center"/>
              <w:rPr>
                <w:rFonts w:ascii="Times New Roman" w:hAnsi="Times New Roman" w:cs="Times New Roman"/>
              </w:rPr>
            </w:pPr>
            <w:r w:rsidRPr="005A51EF">
              <w:rPr>
                <w:rFonts w:ascii="Times New Roman" w:hAnsi="Times New Roman" w:cs="Times New Roman"/>
                <w:color w:val="000000"/>
              </w:rPr>
              <w:t>1.</w:t>
            </w:r>
          </w:p>
        </w:tc>
        <w:tc>
          <w:tcPr>
            <w:tcW w:w="5680" w:type="dxa"/>
            <w:tcBorders>
              <w:top w:val="single" w:sz="6" w:space="0" w:color="auto"/>
              <w:left w:val="single" w:sz="6" w:space="0" w:color="auto"/>
              <w:bottom w:val="single" w:sz="6" w:space="0" w:color="auto"/>
              <w:right w:val="single" w:sz="6" w:space="0" w:color="auto"/>
            </w:tcBorders>
            <w:shd w:val="clear" w:color="auto" w:fill="FFFFFF"/>
          </w:tcPr>
          <w:p w14:paraId="36390E36" w14:textId="568A71AA" w:rsidR="005A51EF" w:rsidRPr="005A51EF" w:rsidRDefault="005A51EF" w:rsidP="004271B2">
            <w:pPr>
              <w:shd w:val="clear" w:color="auto" w:fill="FFFFFF"/>
              <w:rPr>
                <w:rFonts w:ascii="Times New Roman" w:hAnsi="Times New Roman" w:cs="Times New Roman"/>
              </w:rPr>
            </w:pPr>
            <w:r w:rsidRPr="005A51EF">
              <w:rPr>
                <w:rFonts w:ascii="Times New Roman" w:hAnsi="Times New Roman" w:cs="Times New Roman"/>
              </w:rPr>
              <w:t xml:space="preserve">          </w:t>
            </w:r>
            <w:proofErr w:type="spellStart"/>
            <w:r w:rsidR="00043D3B" w:rsidRPr="00043D3B">
              <w:rPr>
                <w:rFonts w:ascii="Times New Roman" w:hAnsi="Times New Roman" w:cs="Times New Roman"/>
                <w:lang w:val="en-US"/>
              </w:rPr>
              <w:t>Тодор</w:t>
            </w:r>
            <w:proofErr w:type="spellEnd"/>
            <w:r w:rsidR="00043D3B" w:rsidRPr="00043D3B">
              <w:rPr>
                <w:rFonts w:ascii="Times New Roman" w:hAnsi="Times New Roman" w:cs="Times New Roman"/>
                <w:lang w:val="en-US"/>
              </w:rPr>
              <w:t xml:space="preserve"> </w:t>
            </w:r>
            <w:proofErr w:type="spellStart"/>
            <w:r w:rsidR="00043D3B" w:rsidRPr="00043D3B">
              <w:rPr>
                <w:rFonts w:ascii="Times New Roman" w:hAnsi="Times New Roman" w:cs="Times New Roman"/>
                <w:lang w:val="en-US"/>
              </w:rPr>
              <w:t>Димитров</w:t>
            </w:r>
            <w:proofErr w:type="spellEnd"/>
            <w:r w:rsidR="00043D3B" w:rsidRPr="00043D3B">
              <w:rPr>
                <w:rFonts w:ascii="Times New Roman" w:hAnsi="Times New Roman" w:cs="Times New Roman"/>
                <w:lang w:val="en-US"/>
              </w:rPr>
              <w:t xml:space="preserve"> </w:t>
            </w:r>
            <w:proofErr w:type="spellStart"/>
            <w:r w:rsidR="00043D3B" w:rsidRPr="00043D3B">
              <w:rPr>
                <w:rFonts w:ascii="Times New Roman" w:hAnsi="Times New Roman" w:cs="Times New Roman"/>
                <w:lang w:val="en-US"/>
              </w:rPr>
              <w:t>Табаков</w:t>
            </w:r>
            <w:proofErr w:type="spellEnd"/>
          </w:p>
        </w:tc>
        <w:tc>
          <w:tcPr>
            <w:tcW w:w="3391" w:type="dxa"/>
            <w:tcBorders>
              <w:top w:val="single" w:sz="6" w:space="0" w:color="auto"/>
              <w:left w:val="single" w:sz="6" w:space="0" w:color="auto"/>
              <w:bottom w:val="single" w:sz="6" w:space="0" w:color="auto"/>
              <w:right w:val="single" w:sz="6" w:space="0" w:color="auto"/>
            </w:tcBorders>
            <w:shd w:val="clear" w:color="auto" w:fill="FFFFFF"/>
          </w:tcPr>
          <w:p w14:paraId="45E2FB18" w14:textId="282F7FF5" w:rsidR="005A51EF" w:rsidRPr="005A51EF" w:rsidRDefault="00BC205A" w:rsidP="004271B2">
            <w:pPr>
              <w:shd w:val="clear" w:color="auto" w:fill="FFFFFF"/>
              <w:jc w:val="center"/>
              <w:rPr>
                <w:rFonts w:ascii="Times New Roman" w:hAnsi="Times New Roman" w:cs="Times New Roman"/>
              </w:rPr>
            </w:pPr>
            <w:r>
              <w:rPr>
                <w:rFonts w:ascii="Times New Roman" w:hAnsi="Times New Roman" w:cs="Times New Roman"/>
                <w:color w:val="000000"/>
                <w:lang w:val="en-US"/>
              </w:rPr>
              <w:t>82</w:t>
            </w:r>
            <w:r w:rsidR="005A51EF" w:rsidRPr="005A51EF">
              <w:rPr>
                <w:rFonts w:ascii="Times New Roman" w:hAnsi="Times New Roman" w:cs="Times New Roman"/>
                <w:color w:val="000000"/>
                <w:lang w:val="en-US"/>
              </w:rPr>
              <w:t>.2</w:t>
            </w:r>
            <w:r>
              <w:rPr>
                <w:rFonts w:ascii="Times New Roman" w:hAnsi="Times New Roman" w:cs="Times New Roman"/>
                <w:color w:val="000000"/>
                <w:lang w:val="en-US"/>
              </w:rPr>
              <w:t>9</w:t>
            </w:r>
            <w:r w:rsidR="005A51EF" w:rsidRPr="005A51EF">
              <w:rPr>
                <w:rFonts w:ascii="Times New Roman" w:hAnsi="Times New Roman" w:cs="Times New Roman"/>
                <w:color w:val="000000"/>
              </w:rPr>
              <w:t xml:space="preserve"> %</w:t>
            </w:r>
          </w:p>
        </w:tc>
      </w:tr>
    </w:tbl>
    <w:p w14:paraId="60D97C2E" w14:textId="1F6CF3ED" w:rsidR="00AB1AB5" w:rsidRPr="00D97D4A" w:rsidRDefault="00AB1AB5" w:rsidP="00B25479">
      <w:pPr>
        <w:shd w:val="clear" w:color="auto" w:fill="FFFFFF"/>
        <w:rPr>
          <w:color w:val="000000"/>
          <w:spacing w:val="-1"/>
        </w:rPr>
      </w:pPr>
      <w:r>
        <w:rPr>
          <w:rFonts w:ascii="Courier New" w:hAnsi="Courier New" w:cs="Courier New"/>
          <w:b/>
          <w:bCs/>
          <w:sz w:val="20"/>
          <w:szCs w:val="20"/>
          <w:lang w:val="x-none"/>
        </w:rPr>
        <w:t xml:space="preserve">                            </w:t>
      </w:r>
      <w:r>
        <w:rPr>
          <w:color w:val="000000"/>
          <w:spacing w:val="-1"/>
        </w:rPr>
        <w:t xml:space="preserve"> </w:t>
      </w:r>
    </w:p>
    <w:tbl>
      <w:tblPr>
        <w:tblpPr w:leftFromText="141" w:rightFromText="141" w:vertAnchor="text" w:horzAnchor="margin" w:tblpX="-284" w:tblpY="151"/>
        <w:tblOverlap w:val="never"/>
        <w:tblW w:w="10065"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9443"/>
        <w:gridCol w:w="622"/>
      </w:tblGrid>
      <w:tr w:rsidR="00AB1AB5" w14:paraId="003109EB" w14:textId="77777777" w:rsidTr="00DD5E15">
        <w:trPr>
          <w:tblCellSpacing w:w="15" w:type="dxa"/>
        </w:trPr>
        <w:tc>
          <w:tcPr>
            <w:tcW w:w="10005" w:type="dxa"/>
            <w:gridSpan w:val="2"/>
            <w:tcBorders>
              <w:top w:val="nil"/>
              <w:left w:val="nil"/>
              <w:bottom w:val="nil"/>
              <w:right w:val="nil"/>
            </w:tcBorders>
            <w:vAlign w:val="center"/>
          </w:tcPr>
          <w:p w14:paraId="4303B484"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AB1AB5" w:rsidRPr="004E446B" w14:paraId="0043FBFC" w14:textId="77777777" w:rsidTr="00DD5E15">
        <w:trPr>
          <w:tblCellSpacing w:w="15" w:type="dxa"/>
        </w:trPr>
        <w:tc>
          <w:tcPr>
            <w:tcW w:w="10005" w:type="dxa"/>
            <w:gridSpan w:val="2"/>
            <w:tcBorders>
              <w:top w:val="nil"/>
              <w:left w:val="nil"/>
              <w:bottom w:val="nil"/>
              <w:right w:val="nil"/>
            </w:tcBorders>
            <w:vAlign w:val="center"/>
          </w:tcPr>
          <w:p w14:paraId="282EB840"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І. КАКВО ТРЯБВА ДА ЗНАЕТЕ</w:t>
            </w:r>
            <w:r w:rsidRPr="004E446B">
              <w:rPr>
                <w:rFonts w:ascii="Times New Roman" w:hAnsi="Times New Roman" w:cs="Times New Roman"/>
                <w:sz w:val="24"/>
                <w:szCs w:val="24"/>
                <w:lang w:val="x-none"/>
              </w:rPr>
              <w:t xml:space="preserve"> </w:t>
            </w:r>
            <w:r w:rsidRPr="004E446B">
              <w:rPr>
                <w:rFonts w:ascii="Times New Roman" w:hAnsi="Times New Roman" w:cs="Times New Roman"/>
                <w:b/>
                <w:bCs/>
                <w:sz w:val="24"/>
                <w:szCs w:val="24"/>
                <w:lang w:val="x-none"/>
              </w:rPr>
              <w:t>при прехвърляне от един в друг фонд за допълнително задължително пенсионно осигуряване (ФДЗПО)</w:t>
            </w:r>
          </w:p>
          <w:p w14:paraId="3A4ABB7D" w14:textId="77777777" w:rsidR="00A45C9A" w:rsidRPr="004E446B" w:rsidRDefault="00A45C9A"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235F3A1B" w14:textId="33E068E9" w:rsidR="00AB1AB5" w:rsidRPr="004E446B" w:rsidRDefault="00AB1AB5" w:rsidP="00A45C9A">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Изборът на пенсионен фонд е личен и свободен</w:t>
            </w:r>
          </w:p>
          <w:p w14:paraId="1CDF0C1D" w14:textId="77777777" w:rsidR="00A45C9A" w:rsidRPr="004E446B" w:rsidRDefault="00A45C9A" w:rsidP="00A45C9A">
            <w:pPr>
              <w:pStyle w:val="ListParagraph"/>
              <w:widowControl w:val="0"/>
              <w:autoSpaceDE w:val="0"/>
              <w:autoSpaceDN w:val="0"/>
              <w:adjustRightInd w:val="0"/>
              <w:spacing w:after="0" w:line="240" w:lineRule="auto"/>
              <w:ind w:left="840"/>
              <w:jc w:val="both"/>
              <w:rPr>
                <w:rFonts w:ascii="Times New Roman" w:hAnsi="Times New Roman" w:cs="Times New Roman"/>
                <w:b/>
                <w:bCs/>
                <w:sz w:val="24"/>
                <w:szCs w:val="24"/>
                <w:lang w:val="x-none"/>
              </w:rPr>
            </w:pPr>
          </w:p>
          <w:p w14:paraId="1744E2E5" w14:textId="33DAB5C1"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Вие имате право свободно да изберете в кой професионален пенсионен фонд да се осигурявате и не сте длъжен да се съобразявате с препоръките на Вашия работодател, синдикални дейци или други лица. </w:t>
            </w:r>
          </w:p>
          <w:p w14:paraId="48C130CD"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Във връзка с прехвърлянето Ви в друг пенсионен фонд пенсионноосигурителните дружества, техните акционери, осигурителни посредници или други лица нямат право да Ви предоставят, да предлагат или да обещават под каквато и да е форма специални привилегии, подаръци, услуги или други облаги.</w:t>
            </w:r>
          </w:p>
          <w:p w14:paraId="63688DAB" w14:textId="3BE22C64" w:rsidR="00A45C9A"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Процедурата за промяна на участие е подробно уредена в Наредба № 3 на КФН за реда и начина за промяна на участие и за прехвърляне на натрупаните средства на осигурено лице от един фонд за допълнително пенсионно осигуряване в друг съответен фонд, управляван от друго пенсионноосигурително дружество. Актуалният текст на наредбата можете да намерите на интернет страницата на КФН (</w:t>
            </w:r>
            <w:r w:rsidR="00A45C9A">
              <w:fldChar w:fldCharType="begin"/>
            </w:r>
            <w:r w:rsidR="00A45C9A">
              <w:instrText>HYPERLINK "http://www.fsc.bg"</w:instrText>
            </w:r>
            <w:r w:rsidR="00A45C9A">
              <w:fldChar w:fldCharType="separate"/>
            </w:r>
            <w:r w:rsidR="00A45C9A" w:rsidRPr="004E446B">
              <w:rPr>
                <w:rStyle w:val="Hyperlink"/>
                <w:rFonts w:ascii="Times New Roman" w:hAnsi="Times New Roman" w:cs="Times New Roman"/>
                <w:sz w:val="24"/>
                <w:szCs w:val="24"/>
                <w:lang w:val="x-none"/>
              </w:rPr>
              <w:t>www.fsc.bg</w:t>
            </w:r>
            <w:r w:rsidR="00A45C9A">
              <w:fldChar w:fldCharType="end"/>
            </w:r>
            <w:r w:rsidR="00A45C9A" w:rsidRPr="004E446B">
              <w:rPr>
                <w:rFonts w:ascii="Times New Roman" w:hAnsi="Times New Roman" w:cs="Times New Roman"/>
                <w:sz w:val="24"/>
                <w:szCs w:val="24"/>
                <w:lang w:val="x-none"/>
              </w:rPr>
              <w:t>).</w:t>
            </w:r>
          </w:p>
          <w:p w14:paraId="3679F87F" w14:textId="66CE46C5"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003EF9AE" w14:textId="5B5E5526" w:rsidR="00AB1AB5" w:rsidRPr="004E446B" w:rsidRDefault="00AB1AB5" w:rsidP="00A62A9F">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Случаи, в които имате право да се прехвърлите</w:t>
            </w:r>
          </w:p>
          <w:p w14:paraId="67058F7B" w14:textId="77777777" w:rsidR="00A62A9F" w:rsidRPr="004E446B" w:rsidRDefault="00A62A9F" w:rsidP="00A62A9F">
            <w:pPr>
              <w:pStyle w:val="ListParagraph"/>
              <w:widowControl w:val="0"/>
              <w:autoSpaceDE w:val="0"/>
              <w:autoSpaceDN w:val="0"/>
              <w:adjustRightInd w:val="0"/>
              <w:spacing w:after="0" w:line="240" w:lineRule="auto"/>
              <w:ind w:left="840"/>
              <w:jc w:val="both"/>
              <w:rPr>
                <w:rFonts w:ascii="Times New Roman" w:hAnsi="Times New Roman" w:cs="Times New Roman"/>
                <w:b/>
                <w:bCs/>
                <w:sz w:val="24"/>
                <w:szCs w:val="24"/>
                <w:lang w:val="x-none"/>
              </w:rPr>
            </w:pPr>
          </w:p>
          <w:p w14:paraId="0AFD3E03"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Вие имате право да се прехвърлите в друг ФДЗПО след изтичането на една година от започване на участието Ви във фонда, в който сте осигурен. </w:t>
            </w:r>
          </w:p>
          <w:p w14:paraId="3040BC9A"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Вие можете да се прехвърлите независимо от периода на участие във фонда в следните случаи:</w:t>
            </w:r>
          </w:p>
          <w:p w14:paraId="3E903B0D"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b/>
                <w:bCs/>
                <w:sz w:val="24"/>
                <w:szCs w:val="24"/>
                <w:lang w:val="x-none"/>
              </w:rPr>
              <w:t>–</w:t>
            </w:r>
            <w:r w:rsidRPr="004E446B">
              <w:rPr>
                <w:rFonts w:ascii="Times New Roman" w:hAnsi="Times New Roman" w:cs="Times New Roman"/>
                <w:sz w:val="24"/>
                <w:szCs w:val="24"/>
                <w:lang w:val="x-none"/>
              </w:rPr>
              <w:t xml:space="preserve"> при несъгласие с извършени промени в правилника или инвестиционната политика на фонда, ако подадете заявление за промяна на участие в тримесечен срок от уведомлението за това, с изключение на случаите, когато тези промени произтичат от изменение в нормативната уредба или се извършва промяна в седалището или адреса на управление на пенсионноосигурителното дружество;</w:t>
            </w:r>
          </w:p>
          <w:p w14:paraId="3E362785"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b/>
                <w:bCs/>
                <w:sz w:val="24"/>
                <w:szCs w:val="24"/>
                <w:lang w:val="x-none"/>
              </w:rPr>
              <w:t>–</w:t>
            </w:r>
            <w:r w:rsidRPr="004E446B">
              <w:rPr>
                <w:rFonts w:ascii="Times New Roman" w:hAnsi="Times New Roman" w:cs="Times New Roman"/>
                <w:sz w:val="24"/>
                <w:szCs w:val="24"/>
                <w:lang w:val="x-none"/>
              </w:rPr>
              <w:t xml:space="preserve"> при преобразуване или прекратяване на пенсионноосигурителното дружество или на управлявания от него фонд, където сте осигурен.</w:t>
            </w:r>
          </w:p>
          <w:p w14:paraId="17BFA78D" w14:textId="77777777" w:rsidR="004E446B" w:rsidRDefault="004E446B"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3E3D8B40" w14:textId="7816A4DD"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3. Подаване на заявлението и сключване на осигурителен договор</w:t>
            </w:r>
          </w:p>
          <w:p w14:paraId="5A13E23A"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Заявлението се подава в електронна форма или на хартиен носител чрез упълномощен служител или осигурителен посредник на пенсионноосигурителното дружество, управляващо </w:t>
            </w:r>
            <w:r w:rsidRPr="004E446B">
              <w:rPr>
                <w:rFonts w:ascii="Times New Roman" w:hAnsi="Times New Roman" w:cs="Times New Roman"/>
                <w:sz w:val="24"/>
                <w:szCs w:val="24"/>
                <w:lang w:val="x-none"/>
              </w:rPr>
              <w:lastRenderedPageBreak/>
              <w:t xml:space="preserve">фонда, в който желаете да преминете ("новото" дружество). Когато заявлението се подава на хартиен носител, е необходимо подписът Ви върху първия му екземпляр да бъде нотариално заверен. Електронното заявление се подписва с квалифициран електронен подпис, валиден към датата на извършване на електронното изявление. </w:t>
            </w:r>
          </w:p>
          <w:p w14:paraId="47DAABF4"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При промяна във Вашите имена или ЕГН, с които сте регистриран в пенсионния фонд, в който сте осигурен, в случай че не сте уведомили дружеството за промяната, е необходимо да приложите към заявлението заверени от Вас (при подадено електронно заявление – сканирани) копия от официалните документи, удостоверяващи това обстоятелство:</w:t>
            </w:r>
          </w:p>
          <w:p w14:paraId="2B038429"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при промяна на ЕГН – удостоверителен документ от съответната служба ГРАО към Министерство на регионалното развитие и благоустройството, обслужваща общината по постоянен адрес, или друг документ, съгласно действащото в страната законодателство;</w:t>
            </w:r>
          </w:p>
          <w:p w14:paraId="40F1EE8A"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 при промяна на имената – удостоверение за сключен граждански брак, съдебно решение (за развод, промяна на имена и др.), удостоверение за идентичност на имена или друг документ, съгласно действащото в страната законодателство. </w:t>
            </w:r>
          </w:p>
          <w:p w14:paraId="1C58EF37"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Личната карта не е документ, удостоверяващ промяна в трите имена или ЕГН на осигуреното лице, и в тази връзка липсва необходимост и основание да се прилага копие от нея към заявлението за промяна на участие.</w:t>
            </w:r>
          </w:p>
          <w:p w14:paraId="1ADDC49C" w14:textId="0B619D3B"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Едновременно с подаване на заявлението за промяна на участие, се подписва и осигурителен договор с </w:t>
            </w:r>
            <w:r w:rsidR="00A04058"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новото</w:t>
            </w:r>
            <w:r w:rsidR="00A04058"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 xml:space="preserve"> дружество. Осигурителното Ви правоотношение с дружеството, в чийто фонд сте осигурен (</w:t>
            </w:r>
            <w:r w:rsidR="00A04058"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старото</w:t>
            </w:r>
            <w:r w:rsidR="00A04058"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 xml:space="preserve"> дружество), се прекратява и договорът Ви с </w:t>
            </w:r>
            <w:r w:rsidR="00A04058"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новото дружество</w:t>
            </w:r>
            <w:r w:rsidR="00A04058" w:rsidRPr="004E446B">
              <w:rPr>
                <w:rFonts w:ascii="Times New Roman" w:hAnsi="Times New Roman" w:cs="Times New Roman"/>
                <w:sz w:val="24"/>
                <w:szCs w:val="24"/>
                <w:lang w:val="x-none"/>
              </w:rPr>
              <w:t xml:space="preserve">” </w:t>
            </w:r>
            <w:r w:rsidRPr="004E446B">
              <w:rPr>
                <w:rFonts w:ascii="Times New Roman" w:hAnsi="Times New Roman" w:cs="Times New Roman"/>
                <w:sz w:val="24"/>
                <w:szCs w:val="24"/>
                <w:lang w:val="x-none"/>
              </w:rPr>
              <w:t xml:space="preserve">влиза в сила в деня на прехвърляне на средствата Ви по сметката на фонда, управляван от </w:t>
            </w:r>
            <w:r w:rsidR="00A04058"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новото</w:t>
            </w:r>
            <w:r w:rsidR="00A04058"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 xml:space="preserve"> дружество.</w:t>
            </w:r>
          </w:p>
          <w:p w14:paraId="48CC4DEB"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Лицето, което приема заявлението, е длъжно да му постави входящ номер и да попълни в него и в осигурителния договор определените за дружеството данни. Служителят на дружеството е длъжен да удостовери приемането с име, длъжност и подпис, а осигурителният посредник – с име, служебен номер и подпис, и да Ви върне екземпляр от заявлението и от договора. При подаване на електронно заявление, електронно копие от него и от осигурителния договор, подписани с квалифицирания електронен подпис на дружеството, ще бъдат изпратени на Вашия e-mail адрес.</w:t>
            </w:r>
          </w:p>
          <w:p w14:paraId="60D60184"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4. Разглеждане на заявлението от дружеството, управляващо фонда, в който сте осигурен</w:t>
            </w:r>
          </w:p>
          <w:p w14:paraId="3C5DA070" w14:textId="77777777" w:rsidR="00A62A9F" w:rsidRPr="004E446B" w:rsidRDefault="00A62A9F"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0D051A4B" w14:textId="1F6735FE" w:rsidR="00AB1AB5" w:rsidRPr="004E446B" w:rsidRDefault="00A04058"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w:t>
            </w:r>
            <w:r w:rsidR="00AB1AB5" w:rsidRPr="004E446B">
              <w:rPr>
                <w:rFonts w:ascii="Times New Roman" w:hAnsi="Times New Roman" w:cs="Times New Roman"/>
                <w:sz w:val="24"/>
                <w:szCs w:val="24"/>
                <w:lang w:val="x-none"/>
              </w:rPr>
              <w:t>Старото</w:t>
            </w:r>
            <w:r w:rsidRPr="004E446B">
              <w:rPr>
                <w:rFonts w:ascii="Times New Roman" w:hAnsi="Times New Roman" w:cs="Times New Roman"/>
                <w:sz w:val="24"/>
                <w:szCs w:val="24"/>
                <w:lang w:val="x-none"/>
              </w:rPr>
              <w:t>”</w:t>
            </w:r>
            <w:r w:rsidR="00AB1AB5" w:rsidRPr="004E446B">
              <w:rPr>
                <w:rFonts w:ascii="Times New Roman" w:hAnsi="Times New Roman" w:cs="Times New Roman"/>
                <w:sz w:val="24"/>
                <w:szCs w:val="24"/>
                <w:lang w:val="x-none"/>
              </w:rPr>
              <w:t xml:space="preserve"> дружество няма да приеме заявлението Ви, ако то е без нотариална заверка на подписа (съответно – електронното заявление не е подписано с квалифициран електронен подпис), с непопълнени или неправилно попълнени данни. В такъв случай </w:t>
            </w:r>
            <w:r w:rsidRPr="004E446B">
              <w:rPr>
                <w:rFonts w:ascii="Times New Roman" w:hAnsi="Times New Roman" w:cs="Times New Roman"/>
                <w:sz w:val="24"/>
                <w:szCs w:val="24"/>
                <w:lang w:val="x-none"/>
              </w:rPr>
              <w:t>“</w:t>
            </w:r>
            <w:r w:rsidR="00AB1AB5" w:rsidRPr="004E446B">
              <w:rPr>
                <w:rFonts w:ascii="Times New Roman" w:hAnsi="Times New Roman" w:cs="Times New Roman"/>
                <w:sz w:val="24"/>
                <w:szCs w:val="24"/>
                <w:lang w:val="x-none"/>
              </w:rPr>
              <w:t>новото</w:t>
            </w:r>
            <w:r w:rsidRPr="004E446B">
              <w:rPr>
                <w:rFonts w:ascii="Times New Roman" w:hAnsi="Times New Roman" w:cs="Times New Roman"/>
                <w:sz w:val="24"/>
                <w:szCs w:val="24"/>
                <w:lang w:val="x-none"/>
              </w:rPr>
              <w:t>”</w:t>
            </w:r>
            <w:r w:rsidR="00AB1AB5" w:rsidRPr="004E446B">
              <w:rPr>
                <w:rFonts w:ascii="Times New Roman" w:hAnsi="Times New Roman" w:cs="Times New Roman"/>
                <w:sz w:val="24"/>
                <w:szCs w:val="24"/>
                <w:lang w:val="x-none"/>
              </w:rPr>
              <w:t xml:space="preserve"> дружество е длъжно да анулира заявлението Ви и да Ви уведоми за това в 7-дневен срок с писмо с обратна разписка или чрез осигурителен посредник писмено срещу подпис (съответно – по електронен път с електронен подпис, ако сте подали електронно заявление или сте посочили този начин в заявлението на хартиен носител).</w:t>
            </w:r>
          </w:p>
          <w:p w14:paraId="17CE73F5" w14:textId="3A71188A" w:rsidR="00AB1AB5" w:rsidRPr="004E446B" w:rsidRDefault="00A04058"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w:t>
            </w:r>
            <w:r w:rsidR="00AB1AB5" w:rsidRPr="004E446B">
              <w:rPr>
                <w:rFonts w:ascii="Times New Roman" w:hAnsi="Times New Roman" w:cs="Times New Roman"/>
                <w:sz w:val="24"/>
                <w:szCs w:val="24"/>
                <w:lang w:val="x-none"/>
              </w:rPr>
              <w:t>Старото</w:t>
            </w:r>
            <w:r w:rsidRPr="004E446B">
              <w:rPr>
                <w:rFonts w:ascii="Times New Roman" w:hAnsi="Times New Roman" w:cs="Times New Roman"/>
                <w:sz w:val="24"/>
                <w:szCs w:val="24"/>
                <w:lang w:val="x-none"/>
              </w:rPr>
              <w:t>”</w:t>
            </w:r>
            <w:r w:rsidR="00AB1AB5" w:rsidRPr="004E446B">
              <w:rPr>
                <w:rFonts w:ascii="Times New Roman" w:hAnsi="Times New Roman" w:cs="Times New Roman"/>
                <w:sz w:val="24"/>
                <w:szCs w:val="24"/>
                <w:lang w:val="x-none"/>
              </w:rPr>
              <w:t xml:space="preserve"> дружество ще откаже да прехвърли Вашите средства, когато: </w:t>
            </w:r>
          </w:p>
          <w:p w14:paraId="66434722" w14:textId="4CF60AEF" w:rsidR="00AB1AB5" w:rsidRPr="004E446B" w:rsidRDefault="00AB1AB5" w:rsidP="00A04058">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 нямате право на прехвърляне съгласно т. 2;</w:t>
            </w:r>
          </w:p>
          <w:p w14:paraId="3E0CC7FB" w14:textId="4362163A" w:rsidR="00AB1AB5" w:rsidRPr="004E446B" w:rsidRDefault="00AB1AB5" w:rsidP="00A04058">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е получило от две или повече пенсионноосигурителни дружества заявления за промяна на Вашето участие. </w:t>
            </w:r>
          </w:p>
          <w:p w14:paraId="62056F4D" w14:textId="77777777" w:rsidR="00A04058" w:rsidRPr="004E446B" w:rsidRDefault="00A04058" w:rsidP="00A04058">
            <w:pPr>
              <w:pStyle w:val="ListParagraph"/>
              <w:widowControl w:val="0"/>
              <w:autoSpaceDE w:val="0"/>
              <w:autoSpaceDN w:val="0"/>
              <w:adjustRightInd w:val="0"/>
              <w:spacing w:after="0" w:line="240" w:lineRule="auto"/>
              <w:ind w:left="1200"/>
              <w:jc w:val="both"/>
              <w:rPr>
                <w:rFonts w:ascii="Times New Roman" w:hAnsi="Times New Roman" w:cs="Times New Roman"/>
                <w:sz w:val="24"/>
                <w:szCs w:val="24"/>
                <w:lang w:val="x-none"/>
              </w:rPr>
            </w:pPr>
          </w:p>
          <w:p w14:paraId="0B60BFDA" w14:textId="129D813F"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Извън това </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старото</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 xml:space="preserve"> дружество може да откаже да разгледа заявлението Ви, когато:</w:t>
            </w:r>
          </w:p>
          <w:p w14:paraId="19ACD59B" w14:textId="5FD0DC7A" w:rsidR="00AB1AB5" w:rsidRPr="004E446B" w:rsidRDefault="00AB1AB5" w:rsidP="00A04058">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Вашите имена не съвпадат с актуални данни в документите, с които то разполага, и към заявлението не са приложени документите, удостоверяващи промяна в имената;</w:t>
            </w:r>
          </w:p>
          <w:p w14:paraId="168B52C2" w14:textId="3ED2CF39" w:rsidR="00AB1AB5" w:rsidRPr="004E446B" w:rsidRDefault="00AB1AB5" w:rsidP="00A04058">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във фонда няма осигурено лице с ЕГН, който сте посочили в заявлението и към заявлението не са приложени документите, удостоверяващи промяна в единния граждански номер.</w:t>
            </w:r>
          </w:p>
          <w:p w14:paraId="79F29FD5" w14:textId="6894C1CE"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Отказът на </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старото</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 xml:space="preserve"> дружество се изпраща до </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новото</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 xml:space="preserve"> дружество, от което имате право да получите заверено (съответно – електронно) копие от заявлението, съдържащо мотивите за отказа. В случай че отказът е изготвен като отделен електронен документ, имате право да </w:t>
            </w:r>
            <w:r w:rsidRPr="004E446B">
              <w:rPr>
                <w:rFonts w:ascii="Times New Roman" w:hAnsi="Times New Roman" w:cs="Times New Roman"/>
                <w:sz w:val="24"/>
                <w:szCs w:val="24"/>
                <w:lang w:val="x-none"/>
              </w:rPr>
              <w:lastRenderedPageBreak/>
              <w:t>получите копие от него.</w:t>
            </w:r>
          </w:p>
          <w:p w14:paraId="6CDB40E1" w14:textId="77777777" w:rsidR="00A62A9F" w:rsidRPr="004E446B" w:rsidRDefault="00A62A9F"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6BEAB9E5"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5</w:t>
            </w:r>
            <w:r w:rsidRPr="004E446B">
              <w:rPr>
                <w:rFonts w:ascii="Times New Roman" w:hAnsi="Times New Roman" w:cs="Times New Roman"/>
                <w:sz w:val="24"/>
                <w:szCs w:val="24"/>
                <w:lang w:val="x-none"/>
              </w:rPr>
              <w:t xml:space="preserve">. </w:t>
            </w:r>
            <w:r w:rsidRPr="004E446B">
              <w:rPr>
                <w:rFonts w:ascii="Times New Roman" w:hAnsi="Times New Roman" w:cs="Times New Roman"/>
                <w:b/>
                <w:bCs/>
                <w:sz w:val="24"/>
                <w:szCs w:val="24"/>
                <w:lang w:val="x-none"/>
              </w:rPr>
              <w:t>Подаване на възражение срещу отказ за промяна на участие</w:t>
            </w:r>
          </w:p>
          <w:p w14:paraId="52FBFBFA" w14:textId="77777777" w:rsidR="00A62A9F" w:rsidRPr="004E446B" w:rsidRDefault="00A62A9F"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26EA686D" w14:textId="12E94E21"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Заявлението Ви ще бъде разгледано след изтичането на календарното тримесечие, през което сте го подали, с оглед изискването фондовете да постигат минимална доходност, която се определя на тримесечие. В началото на месеца, следващ това тримесечие, проверете в </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новото дружество</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 xml:space="preserve">, дали заявлението Ви е уважено. В случай на отказ можете да подадете възражение чрез </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новото</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 xml:space="preserve"> дружество. Необходимо е да се осведомите от него за срока за това. Към възражението трябва да приложите всички писмени доказателства, на които то се основава, а при несъответствие или промяна на Вашите имена или ЕГН – и заверени от Вас копия от официалните документи, удостоверяващи съответните данни. </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Старото</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 xml:space="preserve"> дружество е длъжно да Ви изпрати решението си по подаденото от Вас възражение с писмо с обратна разписка. </w:t>
            </w:r>
          </w:p>
          <w:p w14:paraId="09B4D62C" w14:textId="76684799"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Когато заявлението за промяна на участие е подадено като електронен документ, възражението може да се подаде по електронен път, подписано с квалифициран електронен подпис, валиден към датата на извършване на електронното изявление. В такъв случай към него се прилагат сканирани копия от документите в подкрепа на възражението, а </w:t>
            </w:r>
            <w:r w:rsidR="00A62A9F"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старото</w:t>
            </w:r>
            <w:r w:rsidR="00A62A9F" w:rsidRPr="004E446B">
              <w:rPr>
                <w:rFonts w:ascii="Times New Roman" w:hAnsi="Times New Roman" w:cs="Times New Roman"/>
                <w:sz w:val="24"/>
                <w:szCs w:val="24"/>
                <w:lang w:val="x-none"/>
              </w:rPr>
              <w:t xml:space="preserve">” </w:t>
            </w:r>
            <w:r w:rsidRPr="004E446B">
              <w:rPr>
                <w:rFonts w:ascii="Times New Roman" w:hAnsi="Times New Roman" w:cs="Times New Roman"/>
                <w:sz w:val="24"/>
                <w:szCs w:val="24"/>
                <w:lang w:val="x-none"/>
              </w:rPr>
              <w:t xml:space="preserve">дружество ще Ви уведоми за решението си по електронен път. </w:t>
            </w:r>
          </w:p>
          <w:p w14:paraId="7D7FAF56" w14:textId="77777777" w:rsidR="00A62A9F" w:rsidRPr="004E446B" w:rsidRDefault="00A62A9F"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79890EC7"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6. Оттегляне на подаденото заявление</w:t>
            </w:r>
          </w:p>
          <w:p w14:paraId="289F7144" w14:textId="77777777" w:rsidR="00A62A9F" w:rsidRPr="004E446B" w:rsidRDefault="00A62A9F"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1A08DC5C" w14:textId="3A35F5F5"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Вие можете да оттеглите заявлението си до 5-о число на месеца, в който се прехвърлят средствата по т. 9, като подадете в </w:t>
            </w:r>
            <w:r w:rsidR="005C3CAC"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новото</w:t>
            </w:r>
            <w:r w:rsidR="005C3CAC" w:rsidRPr="004E446B">
              <w:rPr>
                <w:rFonts w:ascii="Times New Roman" w:hAnsi="Times New Roman" w:cs="Times New Roman"/>
                <w:sz w:val="24"/>
                <w:szCs w:val="24"/>
                <w:lang w:val="x-none"/>
              </w:rPr>
              <w:t>”</w:t>
            </w:r>
            <w:r w:rsidRPr="004E446B">
              <w:rPr>
                <w:rFonts w:ascii="Times New Roman" w:hAnsi="Times New Roman" w:cs="Times New Roman"/>
                <w:sz w:val="24"/>
                <w:szCs w:val="24"/>
                <w:lang w:val="x-none"/>
              </w:rPr>
              <w:t xml:space="preserve"> дружество искане по образец. Искането се подава на хартиен носител с нотариална заверка на подписа, съответно като електронен документ, подписан с Ваш квалифициран електронен подпис, валиден към датата на извършване на електронното изявление, чрез служител или осигурителен посредник на "новото" дружество, по пощата с писмо с обратна разписка или чрез "старото" дружество. Искането трябва да бъде не само подадено, но и получено в дружеството в посочения срок.</w:t>
            </w:r>
          </w:p>
          <w:p w14:paraId="44D04CC0" w14:textId="77777777" w:rsidR="00A62A9F" w:rsidRPr="004E446B" w:rsidRDefault="00A62A9F"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60FA76D5" w14:textId="328E94A0"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7. Прекратяване на процедурата</w:t>
            </w:r>
          </w:p>
          <w:p w14:paraId="3F72CF7C" w14:textId="77777777" w:rsidR="005C3CAC" w:rsidRPr="004E446B" w:rsidRDefault="005C3CAC"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03ADB92D"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Когато е налице отказ за промяна на участие или за разглеждане на заявлението от страна на "старото" дружество или Вие сте оттеглили подаденото заявление, процедурата за промяна на участието Ви се прекратява и сключеният от Вас осигурителен договор не влиза в сила. В такъв случай Вие можете да подадете отново заявление за промяна на участие. </w:t>
            </w:r>
          </w:p>
          <w:p w14:paraId="3AA5A720"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Процедурата за промяна на участието Ви се прекратява и ако сте подали заявление за промяна на осигуряването Ви от ФДЗПО в държавното обществено осигуряване, или в определените от закона случаи сте поискали прехвърляне в Националния осигурителен институт на средствата от индивидуалната Ви партида с цел отпускане или преизчисляване на пенсия от държавното обществено осигуряване. </w:t>
            </w:r>
          </w:p>
          <w:p w14:paraId="4E040875" w14:textId="77777777" w:rsidR="005C3CAC" w:rsidRPr="004E446B" w:rsidRDefault="005C3CAC"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00093DD0"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8. Прехвърляне на средствата</w:t>
            </w:r>
          </w:p>
          <w:p w14:paraId="2A93E5B6" w14:textId="77777777" w:rsidR="005C3CAC" w:rsidRPr="004E446B" w:rsidRDefault="005C3CAC"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7D94F71A"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Средствата на всички осигурени лица, по отношение на които процедурата за промяна на участие не е прекратена, се прехвърлят едновременно от пенсионноосигурителните дружества на датите 15 май – за лицата с регистрирани заявления през първо тримесечие, 15 август – за лицата с регистрирани заявления през второ тримесечие, 15 ноември – за лицата с регистрирани заявления през трето тримесечие, 15 февруари – за лицата с регистрирани заявления през четвърто тримесечие на предходната година или на първите работни дни, следващи тези дати. </w:t>
            </w:r>
          </w:p>
          <w:p w14:paraId="56D89688"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В случай че средствата по индивидуалната Ви партида в универсален пенсионен фонд са по-малко от сумата на брутния размер на постъпилите за Вас осигурителни вноски, "старото" дружество е длъжно да преведе на "новото" дружество част от резерва си за гарантиране на брутния размер на вноските в универсален пенсионен фонд, определена по правилата на Кодекса </w:t>
            </w:r>
            <w:r w:rsidRPr="004E446B">
              <w:rPr>
                <w:rFonts w:ascii="Times New Roman" w:hAnsi="Times New Roman" w:cs="Times New Roman"/>
                <w:sz w:val="24"/>
                <w:szCs w:val="24"/>
                <w:lang w:val="x-none"/>
              </w:rPr>
              <w:lastRenderedPageBreak/>
              <w:t>за социално осигуряване.</w:t>
            </w:r>
          </w:p>
          <w:p w14:paraId="4E13D139"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Когато се прехвърляте в друг универсален пенсионен фонд на основание придобито право на пенсия от универсален пенсионен фонд и натрупаните средства по индивидуалната Ви партида са по-малко от сумата на брутния размер на постъпилите осигурителни вноски, индивидуалната Ви партида се допълва до тази сума със средства от резерва за гарантиране на брутния размер на вноските в универсален пенсионен фонд и средствата по партидата след допълването й се превеждат на фонда, в който желаете да се прехвърлите.</w:t>
            </w:r>
          </w:p>
          <w:p w14:paraId="694E4E2C"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 xml:space="preserve">В срок 7 работни дни след прехвърляне на средствата "старото" дружество трябва да Ви изпрати извлечение от индивидуалната Ви партида. В зависимост от избора Ви в заявлението за промяна на участие, извлечението се изпраща с писмо с обратна разписка или по електронната поща, подписано с квалифициран електронен подпис. </w:t>
            </w:r>
          </w:p>
          <w:p w14:paraId="7C19DF59"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Пенсионноосигурителното дружество не може да събира такса за прехвърляне на средствата от индивидуалната Ви партида от един в друг пенсионен фонд.</w:t>
            </w:r>
          </w:p>
          <w:p w14:paraId="64DF6C13" w14:textId="77777777" w:rsidR="005C3CAC" w:rsidRPr="004E446B" w:rsidRDefault="005C3CAC"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079A52B8"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ІІ. ОСНОВНИ ХАРАКТЕРИСТИКИ НА ПЕНСИОННИЯ ФОНД</w:t>
            </w:r>
          </w:p>
          <w:p w14:paraId="7F0639F8" w14:textId="77777777" w:rsidR="005C3CAC" w:rsidRPr="004E446B" w:rsidRDefault="005C3CAC"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01515185" w14:textId="77777777" w:rsidR="000E4E7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9. Основни данни за инвестициите на пенсионния фонд</w:t>
            </w:r>
          </w:p>
          <w:p w14:paraId="2FE604B4" w14:textId="77777777" w:rsidR="00B25479"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rPr>
            </w:pPr>
            <w:r w:rsidRPr="004E446B">
              <w:rPr>
                <w:rFonts w:ascii="Times New Roman" w:hAnsi="Times New Roman" w:cs="Times New Roman"/>
                <w:b/>
                <w:bCs/>
                <w:sz w:val="24"/>
                <w:szCs w:val="24"/>
                <w:lang w:val="x-none"/>
              </w:rPr>
              <w:t>9.1. Инвестиционни цели на фонда</w:t>
            </w:r>
            <w:r w:rsidR="005A51EF" w:rsidRPr="004E446B">
              <w:rPr>
                <w:rFonts w:ascii="Times New Roman" w:hAnsi="Times New Roman" w:cs="Times New Roman"/>
                <w:b/>
                <w:bCs/>
                <w:sz w:val="24"/>
                <w:szCs w:val="24"/>
              </w:rPr>
              <w:t>:</w:t>
            </w:r>
          </w:p>
          <w:p w14:paraId="7338F196" w14:textId="39BF656A" w:rsidR="000E4E75" w:rsidRPr="004E446B" w:rsidRDefault="000E4E75" w:rsidP="00DD5E15">
            <w:pPr>
              <w:widowControl w:val="0"/>
              <w:autoSpaceDE w:val="0"/>
              <w:autoSpaceDN w:val="0"/>
              <w:adjustRightInd w:val="0"/>
              <w:spacing w:after="0" w:line="240" w:lineRule="auto"/>
              <w:ind w:firstLine="480"/>
              <w:jc w:val="both"/>
              <w:rPr>
                <w:rFonts w:ascii="Times New Roman" w:hAnsi="Times New Roman" w:cs="Times New Roman"/>
                <w:sz w:val="24"/>
                <w:szCs w:val="24"/>
              </w:rPr>
            </w:pPr>
            <w:r w:rsidRPr="004E446B">
              <w:rPr>
                <w:rFonts w:ascii="Times New Roman" w:hAnsi="Times New Roman" w:cs="Times New Roman"/>
                <w:color w:val="000000"/>
                <w:spacing w:val="-2"/>
                <w:sz w:val="24"/>
                <w:szCs w:val="24"/>
              </w:rPr>
              <w:t>1.</w:t>
            </w:r>
            <w:r w:rsidRPr="004E446B">
              <w:rPr>
                <w:rFonts w:ascii="Times New Roman" w:hAnsi="Times New Roman" w:cs="Times New Roman"/>
                <w:color w:val="000000"/>
                <w:sz w:val="24"/>
                <w:szCs w:val="24"/>
              </w:rPr>
              <w:tab/>
              <w:t>Формиране на оптимално структуриран инвестиционен портфейл – балансирана структура с преобладаващо участие на дългосрочни ценни книжа, издадени или гарантирани от държавата, емитирани в евро при спазване на нормативните изисквания и осигуряваща добра доходност при висока степен на сигурност на инвестициите;</w:t>
            </w:r>
          </w:p>
          <w:p w14:paraId="6A9903A5" w14:textId="1AD7BD82" w:rsidR="000E4E75" w:rsidRPr="004E446B" w:rsidRDefault="00B25479"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rPr>
              <w:t xml:space="preserve">2. </w:t>
            </w:r>
            <w:r w:rsidR="000E4E75" w:rsidRPr="004E446B">
              <w:rPr>
                <w:rFonts w:ascii="Times New Roman" w:hAnsi="Times New Roman" w:cs="Times New Roman"/>
                <w:sz w:val="24"/>
                <w:szCs w:val="24"/>
                <w:lang w:val="x-none"/>
              </w:rPr>
              <w:t>Активно управление на портфейла;</w:t>
            </w:r>
          </w:p>
          <w:p w14:paraId="0B2DD066" w14:textId="695C2F9E" w:rsidR="000E4E75" w:rsidRPr="004E446B" w:rsidRDefault="00B25479"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rPr>
              <w:t xml:space="preserve">3. </w:t>
            </w:r>
            <w:r w:rsidR="000E4E75" w:rsidRPr="004E446B">
              <w:rPr>
                <w:rFonts w:ascii="Times New Roman" w:hAnsi="Times New Roman" w:cs="Times New Roman"/>
                <w:sz w:val="24"/>
                <w:szCs w:val="24"/>
                <w:lang w:val="x-none"/>
              </w:rPr>
              <w:t>Постигане на реален растеж на стойността на активите и максимизиране на тяхната възвращаемост;</w:t>
            </w:r>
          </w:p>
          <w:p w14:paraId="77A08B67" w14:textId="61B14956" w:rsidR="000E4E75" w:rsidRPr="004E446B" w:rsidRDefault="00B25479"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rPr>
              <w:t xml:space="preserve">4. </w:t>
            </w:r>
            <w:r w:rsidR="000E4E75" w:rsidRPr="004E446B">
              <w:rPr>
                <w:rFonts w:ascii="Times New Roman" w:hAnsi="Times New Roman" w:cs="Times New Roman"/>
                <w:sz w:val="24"/>
                <w:szCs w:val="24"/>
                <w:lang w:val="x-none"/>
              </w:rPr>
              <w:t>Получаване на стабилна доходност – търсене на оптимална доходност при умерено ниво на риск, съобразено с ликвидните нужди на ФОНДА;</w:t>
            </w:r>
          </w:p>
          <w:p w14:paraId="6510F104" w14:textId="29DF0B21" w:rsidR="000E4E75" w:rsidRPr="004E446B" w:rsidRDefault="00B25479"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rPr>
              <w:t xml:space="preserve">5. </w:t>
            </w:r>
            <w:r w:rsidR="000E4E75" w:rsidRPr="004E446B">
              <w:rPr>
                <w:rFonts w:ascii="Times New Roman" w:hAnsi="Times New Roman" w:cs="Times New Roman"/>
                <w:sz w:val="24"/>
                <w:szCs w:val="24"/>
                <w:lang w:val="x-none"/>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55FB175E" w14:textId="3C25BA1A" w:rsidR="000E4E75" w:rsidRPr="004E446B" w:rsidRDefault="00B25479"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rPr>
              <w:t xml:space="preserve">6. </w:t>
            </w:r>
            <w:r w:rsidR="000E4E75" w:rsidRPr="004E446B">
              <w:rPr>
                <w:rFonts w:ascii="Times New Roman" w:hAnsi="Times New Roman" w:cs="Times New Roman"/>
                <w:sz w:val="24"/>
                <w:szCs w:val="24"/>
                <w:lang w:val="x-none"/>
              </w:rPr>
              <w:t>Поддържане на текуща ликвидност – чрез инвестиции в краткосрочни финансови инструменти и банкови депозити, съобразени със срочността на задълженията на ФОНДА.</w:t>
            </w:r>
          </w:p>
          <w:p w14:paraId="1CBC6717" w14:textId="059A799B" w:rsidR="000E4E75" w:rsidRPr="004E446B" w:rsidRDefault="000E4E7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7.</w:t>
            </w:r>
            <w:r w:rsidRPr="004E446B">
              <w:rPr>
                <w:rFonts w:ascii="Times New Roman" w:hAnsi="Times New Roman" w:cs="Times New Roman"/>
                <w:sz w:val="24"/>
                <w:szCs w:val="24"/>
                <w:lang w:val="x-none"/>
              </w:rPr>
              <w:tab/>
              <w:t>Осъществяване на текущ контрол на постъпилите средства във ФОНДА и навременното</w:t>
            </w:r>
            <w:r w:rsidR="00B25479" w:rsidRPr="004E446B">
              <w:rPr>
                <w:rFonts w:ascii="Times New Roman" w:hAnsi="Times New Roman" w:cs="Times New Roman"/>
                <w:sz w:val="24"/>
                <w:szCs w:val="24"/>
              </w:rPr>
              <w:t xml:space="preserve"> </w:t>
            </w:r>
            <w:r w:rsidRPr="004E446B">
              <w:rPr>
                <w:rFonts w:ascii="Times New Roman" w:hAnsi="Times New Roman" w:cs="Times New Roman"/>
                <w:sz w:val="24"/>
                <w:szCs w:val="24"/>
                <w:lang w:val="x-none"/>
              </w:rPr>
              <w:t>им</w:t>
            </w:r>
            <w:r w:rsidRPr="004E446B">
              <w:rPr>
                <w:rFonts w:ascii="Times New Roman" w:hAnsi="Times New Roman" w:cs="Times New Roman"/>
                <w:sz w:val="24"/>
                <w:szCs w:val="24"/>
                <w:lang w:val="x-none"/>
              </w:rPr>
              <w:br/>
              <w:t>инвестиране във финансови инструменти.</w:t>
            </w:r>
          </w:p>
          <w:p w14:paraId="02CB8D17" w14:textId="77777777" w:rsidR="000E4E75" w:rsidRPr="004E446B" w:rsidRDefault="000E4E7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4E446B">
              <w:rPr>
                <w:rFonts w:ascii="Times New Roman" w:hAnsi="Times New Roman" w:cs="Times New Roman"/>
                <w:sz w:val="24"/>
                <w:szCs w:val="24"/>
                <w:lang w:val="x-none"/>
              </w:rPr>
              <w:t>8.</w:t>
            </w:r>
            <w:r w:rsidRPr="004E446B">
              <w:rPr>
                <w:rFonts w:ascii="Times New Roman" w:hAnsi="Times New Roman" w:cs="Times New Roman"/>
                <w:sz w:val="24"/>
                <w:szCs w:val="24"/>
                <w:lang w:val="x-none"/>
              </w:rPr>
              <w:tab/>
              <w:t>Строго спазване на съществуващите нормативни изисквания за лимити, ограничения и забрани при инвестициите във финансови инструменти.</w:t>
            </w:r>
          </w:p>
          <w:p w14:paraId="61D0F7F7" w14:textId="55F05384"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4E446B">
              <w:rPr>
                <w:rFonts w:ascii="Times New Roman" w:hAnsi="Times New Roman" w:cs="Times New Roman"/>
                <w:b/>
                <w:bCs/>
                <w:sz w:val="24"/>
                <w:szCs w:val="24"/>
                <w:lang w:val="x-none"/>
              </w:rPr>
              <w:t>9.2. Инвестиционни ограничения съгласно инвестиционната политика на фонда</w:t>
            </w:r>
          </w:p>
          <w:p w14:paraId="4E25DB91" w14:textId="77777777" w:rsidR="00153EF8" w:rsidRPr="004E446B" w:rsidRDefault="00153EF8"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B1AB5" w:rsidRPr="004E446B" w14:paraId="4271C892" w14:textId="77777777" w:rsidTr="004271B2">
              <w:trPr>
                <w:tblCellSpacing w:w="15" w:type="dxa"/>
              </w:trPr>
              <w:tc>
                <w:tcPr>
                  <w:tcW w:w="9555" w:type="dxa"/>
                </w:tcPr>
                <w:p w14:paraId="28C5AC5A" w14:textId="77777777" w:rsidR="00AB1AB5" w:rsidRPr="004E446B" w:rsidRDefault="00AB1AB5" w:rsidP="00153EF8">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tc>
            </w:tr>
          </w:tbl>
          <w:p w14:paraId="222854A5" w14:textId="77777777" w:rsidR="00AB1AB5" w:rsidRPr="004E446B"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AB1AB5" w14:paraId="1A59698D" w14:textId="77777777" w:rsidTr="00DD5E15">
        <w:trPr>
          <w:tblCellSpacing w:w="15" w:type="dxa"/>
        </w:trPr>
        <w:tc>
          <w:tcPr>
            <w:tcW w:w="10005" w:type="dxa"/>
            <w:gridSpan w:val="2"/>
            <w:tcBorders>
              <w:top w:val="nil"/>
              <w:left w:val="nil"/>
              <w:bottom w:val="nil"/>
              <w:right w:val="nil"/>
            </w:tcBorders>
            <w:vAlign w:val="center"/>
          </w:tcPr>
          <w:tbl>
            <w:tblPr>
              <w:tblW w:w="9061"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94"/>
              <w:gridCol w:w="5266"/>
              <w:gridCol w:w="3501"/>
            </w:tblGrid>
            <w:tr w:rsidR="00AB1AB5" w14:paraId="0787A040" w14:textId="77777777" w:rsidTr="00AE624C">
              <w:trPr>
                <w:trHeight w:val="1021"/>
                <w:tblCellSpacing w:w="0" w:type="dxa"/>
                <w:jc w:val="center"/>
              </w:trPr>
              <w:tc>
                <w:tcPr>
                  <w:tcW w:w="294" w:type="dxa"/>
                  <w:tcBorders>
                    <w:top w:val="single" w:sz="6" w:space="0" w:color="A0A0A0"/>
                    <w:left w:val="single" w:sz="6" w:space="0" w:color="A0A0A0"/>
                    <w:bottom w:val="single" w:sz="6" w:space="0" w:color="F0F0F0"/>
                    <w:right w:val="single" w:sz="6" w:space="0" w:color="F0F0F0"/>
                  </w:tcBorders>
                  <w:vAlign w:val="center"/>
                </w:tcPr>
                <w:p w14:paraId="4B26B54F"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27066B79" w14:textId="77777777" w:rsidR="00AB1AB5" w:rsidRDefault="00AB1AB5" w:rsidP="00DD5E15">
                  <w:pPr>
                    <w:framePr w:hSpace="141" w:wrap="around" w:vAnchor="text" w:hAnchor="margin" w:x="-284" w:y="151"/>
                    <w:widowControl w:val="0"/>
                    <w:autoSpaceDE w:val="0"/>
                    <w:autoSpaceDN w:val="0"/>
                    <w:adjustRightInd w:val="0"/>
                    <w:spacing w:after="0" w:line="240" w:lineRule="auto"/>
                    <w:suppressOverlap/>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w:t>
                  </w:r>
                </w:p>
              </w:tc>
              <w:tc>
                <w:tcPr>
                  <w:tcW w:w="5266" w:type="dxa"/>
                  <w:tcBorders>
                    <w:top w:val="single" w:sz="6" w:space="0" w:color="A0A0A0"/>
                    <w:left w:val="single" w:sz="6" w:space="0" w:color="A0A0A0"/>
                    <w:bottom w:val="single" w:sz="6" w:space="0" w:color="F0F0F0"/>
                    <w:right w:val="single" w:sz="6" w:space="0" w:color="F0F0F0"/>
                  </w:tcBorders>
                  <w:vAlign w:val="center"/>
                </w:tcPr>
                <w:p w14:paraId="3C55C5AB"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418CFA40" w14:textId="77777777" w:rsidR="00AB1AB5" w:rsidRDefault="00AB1AB5" w:rsidP="00DD5E15">
                  <w:pPr>
                    <w:framePr w:hSpace="141" w:wrap="around" w:vAnchor="text" w:hAnchor="margin" w:x="-284" w:y="151"/>
                    <w:widowControl w:val="0"/>
                    <w:autoSpaceDE w:val="0"/>
                    <w:autoSpaceDN w:val="0"/>
                    <w:adjustRightInd w:val="0"/>
                    <w:spacing w:after="0" w:line="240" w:lineRule="auto"/>
                    <w:suppressOverlap/>
                    <w:jc w:val="center"/>
                    <w:rPr>
                      <w:rFonts w:ascii="Times New Roman" w:hAnsi="Times New Roman" w:cs="Times New Roman"/>
                      <w:sz w:val="24"/>
                      <w:szCs w:val="24"/>
                      <w:lang w:val="x-none"/>
                    </w:rPr>
                  </w:pPr>
                  <w:r>
                    <w:rPr>
                      <w:rFonts w:ascii="Times New Roman" w:hAnsi="Times New Roman" w:cs="Times New Roman"/>
                      <w:b/>
                      <w:bCs/>
                      <w:sz w:val="24"/>
                      <w:szCs w:val="24"/>
                      <w:lang w:val="x-none"/>
                    </w:rPr>
                    <w:t>Инвестиционни</w:t>
                  </w:r>
                  <w:r>
                    <w:rPr>
                      <w:rFonts w:ascii="Times New Roman" w:hAnsi="Times New Roman" w:cs="Times New Roman"/>
                      <w:sz w:val="24"/>
                      <w:szCs w:val="24"/>
                      <w:lang w:val="x-none"/>
                    </w:rPr>
                    <w:t xml:space="preserve"> </w:t>
                  </w:r>
                  <w:r w:rsidRPr="005C3CAC">
                    <w:rPr>
                      <w:rFonts w:ascii="Times New Roman" w:hAnsi="Times New Roman" w:cs="Times New Roman"/>
                      <w:b/>
                      <w:bCs/>
                      <w:sz w:val="24"/>
                      <w:szCs w:val="24"/>
                      <w:lang w:val="x-none"/>
                    </w:rPr>
                    <w:t>инструменти</w:t>
                  </w:r>
                </w:p>
              </w:tc>
              <w:tc>
                <w:tcPr>
                  <w:tcW w:w="3501" w:type="dxa"/>
                  <w:tcBorders>
                    <w:top w:val="single" w:sz="6" w:space="0" w:color="A0A0A0"/>
                    <w:left w:val="single" w:sz="6" w:space="0" w:color="A0A0A0"/>
                    <w:bottom w:val="single" w:sz="6" w:space="0" w:color="F0F0F0"/>
                    <w:right w:val="single" w:sz="6" w:space="0" w:color="F0F0F0"/>
                  </w:tcBorders>
                  <w:vAlign w:val="center"/>
                </w:tcPr>
                <w:p w14:paraId="58694DE1"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5ADD8867" w14:textId="77777777" w:rsidR="00AB1AB5" w:rsidRPr="005C3CAC" w:rsidRDefault="00AB1AB5" w:rsidP="00DD5E15">
                  <w:pPr>
                    <w:framePr w:hSpace="141" w:wrap="around" w:vAnchor="text" w:hAnchor="margin" w:x="-284" w:y="151"/>
                    <w:widowControl w:val="0"/>
                    <w:autoSpaceDE w:val="0"/>
                    <w:autoSpaceDN w:val="0"/>
                    <w:adjustRightInd w:val="0"/>
                    <w:spacing w:after="0" w:line="240" w:lineRule="auto"/>
                    <w:suppressOverlap/>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Инвестиционни</w:t>
                  </w:r>
                  <w:r>
                    <w:rPr>
                      <w:rFonts w:ascii="Times New Roman" w:hAnsi="Times New Roman" w:cs="Times New Roman"/>
                      <w:sz w:val="24"/>
                      <w:szCs w:val="24"/>
                      <w:lang w:val="x-none"/>
                    </w:rPr>
                    <w:t xml:space="preserve"> </w:t>
                  </w:r>
                  <w:r w:rsidRPr="005C3CAC">
                    <w:rPr>
                      <w:rFonts w:ascii="Times New Roman" w:hAnsi="Times New Roman" w:cs="Times New Roman"/>
                      <w:b/>
                      <w:bCs/>
                      <w:sz w:val="24"/>
                      <w:szCs w:val="24"/>
                      <w:lang w:val="x-none"/>
                    </w:rPr>
                    <w:t>ограничения на фонда</w:t>
                  </w:r>
                </w:p>
                <w:p w14:paraId="7FC6C52F" w14:textId="77777777" w:rsidR="00AB1AB5" w:rsidRDefault="00AB1AB5" w:rsidP="00DD5E15">
                  <w:pPr>
                    <w:framePr w:hSpace="141" w:wrap="around" w:vAnchor="text" w:hAnchor="margin" w:x="-284" w:y="151"/>
                    <w:widowControl w:val="0"/>
                    <w:autoSpaceDE w:val="0"/>
                    <w:autoSpaceDN w:val="0"/>
                    <w:adjustRightInd w:val="0"/>
                    <w:spacing w:after="0" w:line="240" w:lineRule="auto"/>
                    <w:suppressOverlap/>
                    <w:jc w:val="center"/>
                    <w:rPr>
                      <w:rFonts w:ascii="Times New Roman" w:hAnsi="Times New Roman" w:cs="Times New Roman"/>
                      <w:b/>
                      <w:bCs/>
                      <w:sz w:val="24"/>
                      <w:szCs w:val="24"/>
                      <w:lang w:val="x-none"/>
                    </w:rPr>
                  </w:pPr>
                  <w:r w:rsidRPr="005C3CAC">
                    <w:rPr>
                      <w:rFonts w:ascii="Times New Roman" w:hAnsi="Times New Roman" w:cs="Times New Roman"/>
                      <w:b/>
                      <w:bCs/>
                      <w:sz w:val="24"/>
                      <w:szCs w:val="24"/>
                      <w:lang w:val="x-none"/>
                    </w:rPr>
                    <w:t>(% от активите)</w:t>
                  </w:r>
                </w:p>
              </w:tc>
            </w:tr>
            <w:tr w:rsidR="00AB1AB5" w14:paraId="5DD263C5" w14:textId="77777777" w:rsidTr="00AE624C">
              <w:trPr>
                <w:trHeight w:val="496"/>
                <w:tblCellSpacing w:w="0" w:type="dxa"/>
                <w:jc w:val="center"/>
              </w:trPr>
              <w:tc>
                <w:tcPr>
                  <w:tcW w:w="294" w:type="dxa"/>
                  <w:tcBorders>
                    <w:top w:val="single" w:sz="6" w:space="0" w:color="A0A0A0"/>
                    <w:left w:val="single" w:sz="6" w:space="0" w:color="A0A0A0"/>
                    <w:bottom w:val="single" w:sz="6" w:space="0" w:color="F0F0F0"/>
                    <w:right w:val="single" w:sz="6" w:space="0" w:color="F0F0F0"/>
                  </w:tcBorders>
                  <w:vAlign w:val="center"/>
                </w:tcPr>
                <w:p w14:paraId="791B7A9B"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2E3B97D4"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5266" w:type="dxa"/>
                  <w:tcBorders>
                    <w:top w:val="single" w:sz="6" w:space="0" w:color="A0A0A0"/>
                    <w:left w:val="single" w:sz="6" w:space="0" w:color="A0A0A0"/>
                    <w:bottom w:val="single" w:sz="6" w:space="0" w:color="F0F0F0"/>
                    <w:right w:val="single" w:sz="6" w:space="0" w:color="F0F0F0"/>
                  </w:tcBorders>
                  <w:vAlign w:val="center"/>
                </w:tcPr>
                <w:p w14:paraId="3F3C5BE2"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099DCBF7"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Дългови финансови инструменти</w:t>
                  </w:r>
                </w:p>
              </w:tc>
              <w:tc>
                <w:tcPr>
                  <w:tcW w:w="3501" w:type="dxa"/>
                  <w:tcBorders>
                    <w:top w:val="single" w:sz="6" w:space="0" w:color="A0A0A0"/>
                    <w:left w:val="single" w:sz="6" w:space="0" w:color="A0A0A0"/>
                    <w:bottom w:val="single" w:sz="6" w:space="0" w:color="F0F0F0"/>
                    <w:right w:val="single" w:sz="6" w:space="0" w:color="F0F0F0"/>
                  </w:tcBorders>
                  <w:vAlign w:val="center"/>
                </w:tcPr>
                <w:p w14:paraId="05A67490" w14:textId="1ABB7BDE" w:rsidR="00AB1AB5" w:rsidRPr="00B25479" w:rsidRDefault="00B25479" w:rsidP="00DD5E15">
                  <w:pPr>
                    <w:framePr w:hSpace="141" w:wrap="around" w:vAnchor="text" w:hAnchor="margin" w:x="-284" w:y="151"/>
                    <w:widowControl w:val="0"/>
                    <w:autoSpaceDE w:val="0"/>
                    <w:autoSpaceDN w:val="0"/>
                    <w:adjustRightInd w:val="0"/>
                    <w:spacing w:after="0" w:line="240" w:lineRule="auto"/>
                    <w:ind w:firstLine="480"/>
                    <w:suppressOverlap/>
                    <w:jc w:val="center"/>
                    <w:rPr>
                      <w:rFonts w:ascii="Times New Roman" w:hAnsi="Times New Roman" w:cs="Times New Roman"/>
                      <w:sz w:val="24"/>
                      <w:szCs w:val="24"/>
                    </w:rPr>
                  </w:pPr>
                  <w:r>
                    <w:rPr>
                      <w:rFonts w:ascii="Times New Roman" w:hAnsi="Times New Roman" w:cs="Times New Roman"/>
                      <w:sz w:val="24"/>
                      <w:szCs w:val="24"/>
                    </w:rPr>
                    <w:t>100</w:t>
                  </w:r>
                </w:p>
              </w:tc>
            </w:tr>
            <w:tr w:rsidR="00AB1AB5" w14:paraId="59D7BEAA" w14:textId="77777777" w:rsidTr="00AE624C">
              <w:trPr>
                <w:trHeight w:val="772"/>
                <w:tblCellSpacing w:w="0" w:type="dxa"/>
                <w:jc w:val="center"/>
              </w:trPr>
              <w:tc>
                <w:tcPr>
                  <w:tcW w:w="294" w:type="dxa"/>
                  <w:tcBorders>
                    <w:top w:val="single" w:sz="6" w:space="0" w:color="A0A0A0"/>
                    <w:left w:val="single" w:sz="6" w:space="0" w:color="A0A0A0"/>
                    <w:bottom w:val="single" w:sz="6" w:space="0" w:color="F0F0F0"/>
                    <w:right w:val="single" w:sz="6" w:space="0" w:color="F0F0F0"/>
                  </w:tcBorders>
                  <w:vAlign w:val="center"/>
                </w:tcPr>
                <w:p w14:paraId="6B4A63E4"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1FE70E2D"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5266" w:type="dxa"/>
                  <w:tcBorders>
                    <w:top w:val="single" w:sz="6" w:space="0" w:color="A0A0A0"/>
                    <w:left w:val="single" w:sz="6" w:space="0" w:color="A0A0A0"/>
                    <w:bottom w:val="single" w:sz="6" w:space="0" w:color="F0F0F0"/>
                    <w:right w:val="single" w:sz="6" w:space="0" w:color="F0F0F0"/>
                  </w:tcBorders>
                  <w:vAlign w:val="center"/>
                </w:tcPr>
                <w:p w14:paraId="7E17A0FF"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6B884FDE"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Дялови финансови инструменти (акции, права и дялове) </w:t>
                  </w:r>
                </w:p>
              </w:tc>
              <w:tc>
                <w:tcPr>
                  <w:tcW w:w="3501" w:type="dxa"/>
                  <w:tcBorders>
                    <w:top w:val="single" w:sz="6" w:space="0" w:color="A0A0A0"/>
                    <w:left w:val="single" w:sz="6" w:space="0" w:color="A0A0A0"/>
                    <w:bottom w:val="single" w:sz="6" w:space="0" w:color="F0F0F0"/>
                    <w:right w:val="single" w:sz="6" w:space="0" w:color="F0F0F0"/>
                  </w:tcBorders>
                  <w:vAlign w:val="center"/>
                </w:tcPr>
                <w:p w14:paraId="676CF3F4" w14:textId="79D0C5B5" w:rsidR="00AB1AB5" w:rsidRPr="00B25479" w:rsidRDefault="00B25479" w:rsidP="00DD5E15">
                  <w:pPr>
                    <w:framePr w:hSpace="141" w:wrap="around" w:vAnchor="text" w:hAnchor="margin" w:x="-284" w:y="151"/>
                    <w:widowControl w:val="0"/>
                    <w:autoSpaceDE w:val="0"/>
                    <w:autoSpaceDN w:val="0"/>
                    <w:adjustRightInd w:val="0"/>
                    <w:spacing w:after="0" w:line="240" w:lineRule="auto"/>
                    <w:ind w:firstLine="480"/>
                    <w:suppressOverlap/>
                    <w:jc w:val="center"/>
                    <w:rPr>
                      <w:rFonts w:ascii="Times New Roman" w:hAnsi="Times New Roman" w:cs="Times New Roman"/>
                      <w:sz w:val="24"/>
                      <w:szCs w:val="24"/>
                    </w:rPr>
                  </w:pPr>
                  <w:r>
                    <w:rPr>
                      <w:rFonts w:ascii="Times New Roman" w:hAnsi="Times New Roman" w:cs="Times New Roman"/>
                      <w:sz w:val="24"/>
                      <w:szCs w:val="24"/>
                    </w:rPr>
                    <w:t>50</w:t>
                  </w:r>
                </w:p>
              </w:tc>
            </w:tr>
            <w:tr w:rsidR="00AB1AB5" w14:paraId="09454851" w14:textId="77777777" w:rsidTr="00AE624C">
              <w:trPr>
                <w:trHeight w:val="496"/>
                <w:tblCellSpacing w:w="0" w:type="dxa"/>
                <w:jc w:val="center"/>
              </w:trPr>
              <w:tc>
                <w:tcPr>
                  <w:tcW w:w="294" w:type="dxa"/>
                  <w:tcBorders>
                    <w:top w:val="single" w:sz="6" w:space="0" w:color="A0A0A0"/>
                    <w:left w:val="single" w:sz="6" w:space="0" w:color="A0A0A0"/>
                    <w:bottom w:val="single" w:sz="6" w:space="0" w:color="F0F0F0"/>
                    <w:right w:val="single" w:sz="6" w:space="0" w:color="F0F0F0"/>
                  </w:tcBorders>
                  <w:vAlign w:val="center"/>
                </w:tcPr>
                <w:p w14:paraId="44BA7698"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40648234"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5266" w:type="dxa"/>
                  <w:tcBorders>
                    <w:top w:val="single" w:sz="6" w:space="0" w:color="A0A0A0"/>
                    <w:left w:val="single" w:sz="6" w:space="0" w:color="A0A0A0"/>
                    <w:bottom w:val="single" w:sz="6" w:space="0" w:color="F0F0F0"/>
                    <w:right w:val="single" w:sz="6" w:space="0" w:color="F0F0F0"/>
                  </w:tcBorders>
                  <w:vAlign w:val="center"/>
                </w:tcPr>
                <w:p w14:paraId="6AE3EEB0"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4548C20F"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Банкови депозити</w:t>
                  </w:r>
                </w:p>
              </w:tc>
              <w:tc>
                <w:tcPr>
                  <w:tcW w:w="3501" w:type="dxa"/>
                  <w:tcBorders>
                    <w:top w:val="single" w:sz="6" w:space="0" w:color="A0A0A0"/>
                    <w:left w:val="single" w:sz="6" w:space="0" w:color="A0A0A0"/>
                    <w:bottom w:val="single" w:sz="6" w:space="0" w:color="F0F0F0"/>
                    <w:right w:val="single" w:sz="6" w:space="0" w:color="F0F0F0"/>
                  </w:tcBorders>
                  <w:vAlign w:val="center"/>
                </w:tcPr>
                <w:p w14:paraId="1349977D" w14:textId="2DCEC35B" w:rsidR="00AB1AB5" w:rsidRPr="00B25479" w:rsidRDefault="00B25479" w:rsidP="00DD5E15">
                  <w:pPr>
                    <w:framePr w:hSpace="141" w:wrap="around" w:vAnchor="text" w:hAnchor="margin" w:x="-284" w:y="151"/>
                    <w:widowControl w:val="0"/>
                    <w:autoSpaceDE w:val="0"/>
                    <w:autoSpaceDN w:val="0"/>
                    <w:adjustRightInd w:val="0"/>
                    <w:spacing w:after="0" w:line="240" w:lineRule="auto"/>
                    <w:ind w:firstLine="480"/>
                    <w:suppressOverlap/>
                    <w:jc w:val="center"/>
                    <w:rPr>
                      <w:rFonts w:ascii="Times New Roman" w:hAnsi="Times New Roman" w:cs="Times New Roman"/>
                      <w:sz w:val="24"/>
                      <w:szCs w:val="24"/>
                    </w:rPr>
                  </w:pPr>
                  <w:r>
                    <w:rPr>
                      <w:rFonts w:ascii="Times New Roman" w:hAnsi="Times New Roman" w:cs="Times New Roman"/>
                      <w:sz w:val="24"/>
                      <w:szCs w:val="24"/>
                    </w:rPr>
                    <w:t>25</w:t>
                  </w:r>
                </w:p>
              </w:tc>
            </w:tr>
            <w:tr w:rsidR="00AB1AB5" w14:paraId="0DE0ABFD" w14:textId="77777777" w:rsidTr="00AE624C">
              <w:trPr>
                <w:trHeight w:val="510"/>
                <w:tblCellSpacing w:w="0" w:type="dxa"/>
                <w:jc w:val="center"/>
              </w:trPr>
              <w:tc>
                <w:tcPr>
                  <w:tcW w:w="294" w:type="dxa"/>
                  <w:tcBorders>
                    <w:top w:val="single" w:sz="6" w:space="0" w:color="A0A0A0"/>
                    <w:left w:val="single" w:sz="6" w:space="0" w:color="A0A0A0"/>
                    <w:bottom w:val="single" w:sz="6" w:space="0" w:color="F0F0F0"/>
                    <w:right w:val="single" w:sz="6" w:space="0" w:color="F0F0F0"/>
                  </w:tcBorders>
                  <w:vAlign w:val="center"/>
                </w:tcPr>
                <w:p w14:paraId="41F3FDDA"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485E7766"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5266" w:type="dxa"/>
                  <w:tcBorders>
                    <w:top w:val="single" w:sz="6" w:space="0" w:color="A0A0A0"/>
                    <w:left w:val="single" w:sz="6" w:space="0" w:color="A0A0A0"/>
                    <w:bottom w:val="single" w:sz="6" w:space="0" w:color="F0F0F0"/>
                    <w:right w:val="single" w:sz="6" w:space="0" w:color="F0F0F0"/>
                  </w:tcBorders>
                  <w:vAlign w:val="center"/>
                </w:tcPr>
                <w:p w14:paraId="6B1770C6"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7D4E4B45" w14:textId="77777777" w:rsidR="00AB1AB5" w:rsidRDefault="00AB1AB5" w:rsidP="00DD5E15">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Инвестиционни имоти</w:t>
                  </w:r>
                </w:p>
              </w:tc>
              <w:tc>
                <w:tcPr>
                  <w:tcW w:w="3501" w:type="dxa"/>
                  <w:tcBorders>
                    <w:top w:val="single" w:sz="6" w:space="0" w:color="A0A0A0"/>
                    <w:left w:val="single" w:sz="6" w:space="0" w:color="A0A0A0"/>
                    <w:bottom w:val="single" w:sz="6" w:space="0" w:color="F0F0F0"/>
                    <w:right w:val="single" w:sz="6" w:space="0" w:color="F0F0F0"/>
                  </w:tcBorders>
                  <w:vAlign w:val="center"/>
                </w:tcPr>
                <w:p w14:paraId="3FAA9346" w14:textId="70295312" w:rsidR="00AB1AB5" w:rsidRPr="00B25479" w:rsidRDefault="00B25479" w:rsidP="00DD5E15">
                  <w:pPr>
                    <w:framePr w:hSpace="141" w:wrap="around" w:vAnchor="text" w:hAnchor="margin" w:x="-284" w:y="151"/>
                    <w:widowControl w:val="0"/>
                    <w:autoSpaceDE w:val="0"/>
                    <w:autoSpaceDN w:val="0"/>
                    <w:adjustRightInd w:val="0"/>
                    <w:spacing w:after="0" w:line="240" w:lineRule="auto"/>
                    <w:ind w:firstLine="480"/>
                    <w:suppressOverlap/>
                    <w:jc w:val="center"/>
                    <w:rPr>
                      <w:rFonts w:ascii="Times New Roman" w:hAnsi="Times New Roman" w:cs="Times New Roman"/>
                      <w:sz w:val="24"/>
                      <w:szCs w:val="24"/>
                    </w:rPr>
                  </w:pPr>
                  <w:r>
                    <w:rPr>
                      <w:rFonts w:ascii="Times New Roman" w:hAnsi="Times New Roman" w:cs="Times New Roman"/>
                      <w:sz w:val="24"/>
                      <w:szCs w:val="24"/>
                    </w:rPr>
                    <w:t>5</w:t>
                  </w:r>
                </w:p>
              </w:tc>
            </w:tr>
          </w:tbl>
          <w:p w14:paraId="7F32CE4A"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5B20F4BA"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AB1AB5" w14:paraId="232499F0" w14:textId="77777777" w:rsidTr="002B742C">
        <w:tblPrEx>
          <w:tblCellMar>
            <w:left w:w="70" w:type="dxa"/>
            <w:right w:w="70" w:type="dxa"/>
          </w:tblCellMar>
        </w:tblPrEx>
        <w:trPr>
          <w:tblCellSpacing w:w="15" w:type="dxa"/>
        </w:trPr>
        <w:tc>
          <w:tcPr>
            <w:tcW w:w="10005" w:type="dxa"/>
            <w:gridSpan w:val="2"/>
            <w:tcBorders>
              <w:top w:val="nil"/>
              <w:left w:val="nil"/>
              <w:bottom w:val="nil"/>
              <w:right w:val="nil"/>
            </w:tcBorders>
            <w:vAlign w:val="center"/>
          </w:tcPr>
          <w:p w14:paraId="733301DD"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lastRenderedPageBreak/>
              <w:t>9.3. Доходност на пенсионния фонд</w:t>
            </w:r>
          </w:p>
          <w:p w14:paraId="46159FEE" w14:textId="77777777" w:rsidR="005C3CAC" w:rsidRDefault="005C3CAC"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06DB6B9B"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стойността на един дял, валидна за последния работен ден на предходната година, се раздели на стойността на един дял, валидна за последния работен ден на предходната година. Стойността на един дял може както да се увеличава, така и да намалява в резултат на постигнатия положителeн или отрицателен доход от инвестициите на фонда. </w:t>
            </w:r>
          </w:p>
          <w:p w14:paraId="4DE983EE" w14:textId="77777777" w:rsidR="005C3CAC" w:rsidRDefault="005C3CAC"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2ABBD793" w14:textId="766775F4" w:rsidR="00AB1AB5" w:rsidRPr="003A66D2" w:rsidRDefault="00AB1AB5" w:rsidP="00DD5E15">
            <w:pPr>
              <w:widowControl w:val="0"/>
              <w:autoSpaceDE w:val="0"/>
              <w:autoSpaceDN w:val="0"/>
              <w:adjustRightInd w:val="0"/>
              <w:spacing w:after="0" w:line="240" w:lineRule="auto"/>
              <w:ind w:firstLine="480"/>
              <w:jc w:val="center"/>
              <w:rPr>
                <w:rFonts w:ascii="Times New Roman" w:hAnsi="Times New Roman" w:cs="Times New Roman"/>
                <w:b/>
                <w:bCs/>
                <w:lang w:val="x-none"/>
              </w:rPr>
            </w:pPr>
            <w:r w:rsidRPr="003A66D2">
              <w:rPr>
                <w:rFonts w:ascii="Times New Roman" w:hAnsi="Times New Roman" w:cs="Times New Roman"/>
                <w:b/>
                <w:bCs/>
                <w:lang w:val="x-none"/>
              </w:rPr>
              <w:t>Постигната номинална доходност за последните 5 години</w:t>
            </w:r>
          </w:p>
          <w:p w14:paraId="7A2503AE" w14:textId="77777777" w:rsidR="00B7639A" w:rsidRPr="000455D1" w:rsidRDefault="00B7639A" w:rsidP="00DD5E15">
            <w:pPr>
              <w:widowControl w:val="0"/>
              <w:autoSpaceDE w:val="0"/>
              <w:autoSpaceDN w:val="0"/>
              <w:adjustRightInd w:val="0"/>
              <w:spacing w:after="0" w:line="240" w:lineRule="auto"/>
              <w:ind w:firstLine="480"/>
              <w:jc w:val="center"/>
              <w:rPr>
                <w:rFonts w:ascii="Times New Roman" w:hAnsi="Times New Roman" w:cs="Times New Roman"/>
                <w:b/>
                <w:bCs/>
                <w:highlight w:val="yellow"/>
                <w:lang w:val="x-none"/>
              </w:rPr>
            </w:pP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B1AB5" w14:paraId="480B4BF2" w14:textId="77777777" w:rsidTr="00B7639A">
              <w:trPr>
                <w:trHeight w:val="94"/>
                <w:tblCellSpacing w:w="15" w:type="dxa"/>
              </w:trPr>
              <w:tc>
                <w:tcPr>
                  <w:tcW w:w="9555" w:type="dxa"/>
                </w:tcPr>
                <w:p w14:paraId="11C7124B" w14:textId="48A7CA5F" w:rsidR="00B25479" w:rsidRDefault="003A66D2" w:rsidP="00153EF8">
                  <w:pPr>
                    <w:framePr w:hSpace="141" w:wrap="around" w:vAnchor="text" w:hAnchor="margin" w:x="-284" w:y="151"/>
                    <w:widowControl w:val="0"/>
                    <w:autoSpaceDE w:val="0"/>
                    <w:autoSpaceDN w:val="0"/>
                    <w:adjustRightInd w:val="0"/>
                    <w:spacing w:after="0" w:line="240" w:lineRule="auto"/>
                    <w:ind w:firstLine="1225"/>
                    <w:suppressOverlap/>
                    <w:jc w:val="center"/>
                    <w:rPr>
                      <w:rFonts w:ascii="Times New Roman" w:hAnsi="Times New Roman" w:cs="Times New Roman"/>
                      <w:b/>
                      <w:bCs/>
                      <w:sz w:val="24"/>
                      <w:szCs w:val="24"/>
                      <w:lang w:val="x-none"/>
                    </w:rPr>
                  </w:pPr>
                  <w:r>
                    <w:rPr>
                      <w:rFonts w:ascii="Times New Roman" w:hAnsi="Times New Roman" w:cs="Times New Roman"/>
                      <w:b/>
                      <w:bCs/>
                      <w:noProof/>
                      <w:sz w:val="24"/>
                      <w:szCs w:val="24"/>
                      <w:lang w:val="x-none"/>
                    </w:rPr>
                    <w:drawing>
                      <wp:inline distT="0" distB="0" distL="0" distR="0" wp14:anchorId="5C6C28FE" wp14:editId="53D5B5AF">
                        <wp:extent cx="4688205"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8205" cy="3017520"/>
                                </a:xfrm>
                                <a:prstGeom prst="rect">
                                  <a:avLst/>
                                </a:prstGeom>
                                <a:noFill/>
                              </pic:spPr>
                            </pic:pic>
                          </a:graphicData>
                        </a:graphic>
                      </wp:inline>
                    </w:drawing>
                  </w:r>
                </w:p>
                <w:p w14:paraId="0349FA13" w14:textId="32C8B2A5" w:rsidR="00AB1AB5" w:rsidRPr="002B742C" w:rsidRDefault="001D7C2B" w:rsidP="00153EF8">
                  <w:pPr>
                    <w:framePr w:hSpace="141" w:wrap="around" w:vAnchor="text" w:hAnchor="margin" w:x="-284" w:y="151"/>
                    <w:widowControl w:val="0"/>
                    <w:autoSpaceDE w:val="0"/>
                    <w:autoSpaceDN w:val="0"/>
                    <w:adjustRightInd w:val="0"/>
                    <w:spacing w:after="0" w:line="240" w:lineRule="auto"/>
                    <w:ind w:firstLine="480"/>
                    <w:suppressOverlap/>
                    <w:jc w:val="center"/>
                    <w:rPr>
                      <w:rFonts w:ascii="Times New Roman" w:hAnsi="Times New Roman" w:cs="Times New Roman"/>
                      <w:b/>
                      <w:bCs/>
                      <w:lang w:val="x-none"/>
                    </w:rPr>
                  </w:pPr>
                  <w:r w:rsidRPr="00B7639A">
                    <w:rPr>
                      <w:rFonts w:ascii="Times New Roman" w:hAnsi="Times New Roman" w:cs="Times New Roman"/>
                      <w:b/>
                      <w:bCs/>
                      <w:lang w:val="x-none"/>
                    </w:rPr>
                    <w:t>Посочените резултати се отнасят за минал период и не следва да се считат като обещание за бъдещи резултати.</w:t>
                  </w:r>
                </w:p>
              </w:tc>
            </w:tr>
          </w:tbl>
          <w:p w14:paraId="746D60B9"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tc>
      </w:tr>
      <w:tr w:rsidR="00AB1AB5" w14:paraId="3D557A3E" w14:textId="77777777" w:rsidTr="00B7639A">
        <w:trPr>
          <w:gridAfter w:val="1"/>
          <w:wAfter w:w="577" w:type="dxa"/>
          <w:trHeight w:val="40"/>
          <w:tblCellSpacing w:w="15" w:type="dxa"/>
        </w:trPr>
        <w:tc>
          <w:tcPr>
            <w:tcW w:w="9398" w:type="dxa"/>
            <w:tcBorders>
              <w:top w:val="nil"/>
              <w:left w:val="nil"/>
              <w:bottom w:val="nil"/>
              <w:right w:val="nil"/>
            </w:tcBorders>
            <w:vAlign w:val="center"/>
          </w:tcPr>
          <w:p w14:paraId="798D507B" w14:textId="77777777" w:rsidR="00AB1AB5" w:rsidRDefault="00AB1AB5" w:rsidP="00DD5E15">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B1AB5" w14:paraId="16DE4D0C" w14:textId="77777777" w:rsidTr="002B742C">
        <w:tblPrEx>
          <w:tblCellMar>
            <w:left w:w="70" w:type="dxa"/>
            <w:right w:w="70" w:type="dxa"/>
          </w:tblCellMar>
        </w:tblPrEx>
        <w:trPr>
          <w:tblCellSpacing w:w="15" w:type="dxa"/>
        </w:trPr>
        <w:tc>
          <w:tcPr>
            <w:tcW w:w="10005" w:type="dxa"/>
            <w:gridSpan w:val="2"/>
            <w:tcBorders>
              <w:top w:val="nil"/>
              <w:left w:val="nil"/>
              <w:bottom w:val="nil"/>
              <w:right w:val="nil"/>
            </w:tcBorders>
            <w:vAlign w:val="center"/>
          </w:tcPr>
          <w:p w14:paraId="01F4FEC2"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9.4. Инвестиционен риск на пенсионния фонд</w:t>
            </w:r>
          </w:p>
          <w:p w14:paraId="2EDE0B5B"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Инвестиционният риск се характеризира с променливостта на постигнатата доходност от управлението на активите на фонда. Показател за измерване на инвестиционния риск е стандартното отклонение на доходността. По-високи стойности на стандартното отклонение означават по-висока степен на променливост (волатилност) на постигнатата доходност и съответно по-голям риск.</w:t>
            </w:r>
          </w:p>
          <w:p w14:paraId="7CD55C5C" w14:textId="77777777" w:rsidR="005C3CAC" w:rsidRDefault="005C3CAC"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1766625A" w14:textId="07BAF06C" w:rsidR="00AB1AB5" w:rsidRPr="00DD5E15" w:rsidRDefault="00AB1AB5" w:rsidP="00DD5E15">
            <w:pPr>
              <w:widowControl w:val="0"/>
              <w:autoSpaceDE w:val="0"/>
              <w:autoSpaceDN w:val="0"/>
              <w:adjustRightInd w:val="0"/>
              <w:spacing w:after="0" w:line="240" w:lineRule="auto"/>
              <w:ind w:firstLine="480"/>
              <w:jc w:val="center"/>
              <w:rPr>
                <w:rFonts w:ascii="Times New Roman" w:hAnsi="Times New Roman" w:cs="Times New Roman"/>
                <w:b/>
                <w:bCs/>
                <w:lang w:val="x-none"/>
              </w:rPr>
            </w:pPr>
            <w:r w:rsidRPr="003A66D2">
              <w:rPr>
                <w:rFonts w:ascii="Times New Roman" w:hAnsi="Times New Roman" w:cs="Times New Roman"/>
                <w:b/>
                <w:bCs/>
                <w:lang w:val="x-none"/>
              </w:rPr>
              <w:t>Стандартно отклонение на доходността за последните 5 години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B1AB5" w14:paraId="6D060E0A" w14:textId="77777777" w:rsidTr="004271B2">
              <w:trPr>
                <w:tblCellSpacing w:w="15" w:type="dxa"/>
              </w:trPr>
              <w:tc>
                <w:tcPr>
                  <w:tcW w:w="9555" w:type="dxa"/>
                </w:tcPr>
                <w:p w14:paraId="6A6723F6" w14:textId="1D98CE3B" w:rsidR="00B25479" w:rsidRDefault="003A66D2" w:rsidP="00153EF8">
                  <w:pPr>
                    <w:framePr w:hSpace="141" w:wrap="around" w:vAnchor="text" w:hAnchor="margin" w:x="-284" w:y="151"/>
                    <w:widowControl w:val="0"/>
                    <w:autoSpaceDE w:val="0"/>
                    <w:autoSpaceDN w:val="0"/>
                    <w:adjustRightInd w:val="0"/>
                    <w:spacing w:after="0" w:line="240" w:lineRule="auto"/>
                    <w:ind w:firstLine="1367"/>
                    <w:suppressOverlap/>
                    <w:jc w:val="center"/>
                    <w:rPr>
                      <w:rFonts w:ascii="Times New Roman" w:hAnsi="Times New Roman" w:cs="Times New Roman"/>
                      <w:b/>
                      <w:bCs/>
                      <w:sz w:val="24"/>
                      <w:szCs w:val="24"/>
                      <w:lang w:val="x-none"/>
                    </w:rPr>
                  </w:pPr>
                  <w:r>
                    <w:rPr>
                      <w:rFonts w:ascii="Times New Roman" w:hAnsi="Times New Roman" w:cs="Times New Roman"/>
                      <w:b/>
                      <w:bCs/>
                      <w:noProof/>
                      <w:sz w:val="24"/>
                      <w:szCs w:val="24"/>
                      <w:lang w:val="x-none"/>
                    </w:rPr>
                    <w:lastRenderedPageBreak/>
                    <w:drawing>
                      <wp:inline distT="0" distB="0" distL="0" distR="0" wp14:anchorId="1330F4CE" wp14:editId="34EDB07F">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A2F2756" w14:textId="77777777" w:rsidR="00B7639A" w:rsidRPr="00B7639A" w:rsidRDefault="00B7639A" w:rsidP="00153EF8">
                  <w:pPr>
                    <w:framePr w:hSpace="141" w:wrap="around" w:vAnchor="text" w:hAnchor="margin" w:x="-284" w:y="151"/>
                    <w:widowControl w:val="0"/>
                    <w:autoSpaceDE w:val="0"/>
                    <w:autoSpaceDN w:val="0"/>
                    <w:adjustRightInd w:val="0"/>
                    <w:spacing w:after="0" w:line="240" w:lineRule="auto"/>
                    <w:ind w:firstLine="480"/>
                    <w:suppressOverlap/>
                    <w:jc w:val="center"/>
                    <w:rPr>
                      <w:rFonts w:ascii="Times New Roman" w:hAnsi="Times New Roman" w:cs="Times New Roman"/>
                      <w:b/>
                      <w:bCs/>
                      <w:lang w:val="x-none"/>
                    </w:rPr>
                  </w:pPr>
                  <w:r w:rsidRPr="00B7639A">
                    <w:rPr>
                      <w:rFonts w:ascii="Times New Roman" w:hAnsi="Times New Roman" w:cs="Times New Roman"/>
                      <w:b/>
                      <w:bCs/>
                      <w:lang w:val="x-none"/>
                    </w:rPr>
                    <w:t>Посочените резултати се отнасят за минал период и не следва да се считат като</w:t>
                  </w:r>
                </w:p>
                <w:p w14:paraId="1E04D281" w14:textId="77777777" w:rsidR="00B7639A" w:rsidRPr="00B7639A" w:rsidRDefault="00B7639A" w:rsidP="00153EF8">
                  <w:pPr>
                    <w:framePr w:hSpace="141" w:wrap="around" w:vAnchor="text" w:hAnchor="margin" w:x="-284" w:y="151"/>
                    <w:widowControl w:val="0"/>
                    <w:autoSpaceDE w:val="0"/>
                    <w:autoSpaceDN w:val="0"/>
                    <w:adjustRightInd w:val="0"/>
                    <w:spacing w:after="0" w:line="240" w:lineRule="auto"/>
                    <w:ind w:firstLine="480"/>
                    <w:suppressOverlap/>
                    <w:jc w:val="center"/>
                    <w:rPr>
                      <w:rFonts w:ascii="Times New Roman" w:hAnsi="Times New Roman" w:cs="Times New Roman"/>
                      <w:b/>
                      <w:bCs/>
                      <w:lang w:val="x-none"/>
                    </w:rPr>
                  </w:pPr>
                  <w:r w:rsidRPr="00B7639A">
                    <w:rPr>
                      <w:rFonts w:ascii="Times New Roman" w:hAnsi="Times New Roman" w:cs="Times New Roman"/>
                      <w:b/>
                      <w:bCs/>
                      <w:lang w:val="x-none"/>
                    </w:rPr>
                    <w:t>обещание за бъдещи резултати.</w:t>
                  </w:r>
                </w:p>
                <w:p w14:paraId="4DD7DB54" w14:textId="4567B784" w:rsidR="00AB1AB5" w:rsidRDefault="00AB1AB5" w:rsidP="00153EF8">
                  <w:pPr>
                    <w:framePr w:hSpace="141" w:wrap="around" w:vAnchor="text" w:hAnchor="margin" w:x="-284" w:y="151"/>
                    <w:widowControl w:val="0"/>
                    <w:autoSpaceDE w:val="0"/>
                    <w:autoSpaceDN w:val="0"/>
                    <w:adjustRightInd w:val="0"/>
                    <w:spacing w:after="0" w:line="240" w:lineRule="auto"/>
                    <w:ind w:firstLine="480"/>
                    <w:suppressOverlap/>
                    <w:jc w:val="center"/>
                    <w:rPr>
                      <w:rFonts w:ascii="Times New Roman" w:hAnsi="Times New Roman" w:cs="Times New Roman"/>
                      <w:sz w:val="24"/>
                      <w:szCs w:val="24"/>
                      <w:lang w:val="x-none"/>
                    </w:rPr>
                  </w:pPr>
                </w:p>
              </w:tc>
            </w:tr>
          </w:tbl>
          <w:p w14:paraId="1C557E63"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tc>
      </w:tr>
      <w:tr w:rsidR="00AB1AB5" w14:paraId="6E881F9C" w14:textId="77777777" w:rsidTr="00DD5E15">
        <w:trPr>
          <w:gridAfter w:val="1"/>
          <w:wAfter w:w="577" w:type="dxa"/>
          <w:trHeight w:val="74"/>
          <w:tblCellSpacing w:w="15" w:type="dxa"/>
        </w:trPr>
        <w:tc>
          <w:tcPr>
            <w:tcW w:w="9398" w:type="dxa"/>
            <w:tcBorders>
              <w:top w:val="nil"/>
              <w:left w:val="nil"/>
              <w:bottom w:val="nil"/>
              <w:right w:val="nil"/>
            </w:tcBorders>
            <w:vAlign w:val="center"/>
          </w:tcPr>
          <w:p w14:paraId="284EB525" w14:textId="59E899C5" w:rsidR="00DD5E15" w:rsidRDefault="00DD5E15" w:rsidP="00B7639A">
            <w:pPr>
              <w:widowControl w:val="0"/>
              <w:autoSpaceDE w:val="0"/>
              <w:autoSpaceDN w:val="0"/>
              <w:adjustRightInd w:val="0"/>
              <w:spacing w:after="0" w:line="240" w:lineRule="auto"/>
              <w:ind w:firstLine="480"/>
              <w:jc w:val="center"/>
              <w:rPr>
                <w:rFonts w:ascii="Courier New" w:hAnsi="Courier New" w:cs="Courier New"/>
                <w:sz w:val="20"/>
                <w:szCs w:val="20"/>
                <w:lang w:val="x-none"/>
              </w:rPr>
            </w:pPr>
          </w:p>
        </w:tc>
      </w:tr>
      <w:tr w:rsidR="00AB1AB5" w14:paraId="6AC4CEE9" w14:textId="77777777" w:rsidTr="00DD5E15">
        <w:trPr>
          <w:tblCellSpacing w:w="15" w:type="dxa"/>
        </w:trPr>
        <w:tc>
          <w:tcPr>
            <w:tcW w:w="10005" w:type="dxa"/>
            <w:gridSpan w:val="2"/>
            <w:tcBorders>
              <w:top w:val="nil"/>
              <w:left w:val="nil"/>
              <w:bottom w:val="nil"/>
              <w:right w:val="nil"/>
            </w:tcBorders>
            <w:vAlign w:val="center"/>
          </w:tcPr>
          <w:p w14:paraId="18750054" w14:textId="646476CE" w:rsidR="005C3CAC" w:rsidRPr="002B742C" w:rsidRDefault="00AB1AB5" w:rsidP="00DD5E15">
            <w:pPr>
              <w:widowControl w:val="0"/>
              <w:autoSpaceDE w:val="0"/>
              <w:autoSpaceDN w:val="0"/>
              <w:adjustRightInd w:val="0"/>
              <w:spacing w:after="0" w:line="240" w:lineRule="auto"/>
              <w:ind w:firstLine="480"/>
              <w:jc w:val="both"/>
              <w:rPr>
                <w:rFonts w:ascii="Times New Roman" w:hAnsi="Times New Roman" w:cs="Times New Roman"/>
                <w:i/>
                <w:iCs/>
                <w:sz w:val="24"/>
                <w:szCs w:val="24"/>
                <w:lang w:val="ru-RU"/>
              </w:rPr>
            </w:pPr>
            <w:r>
              <w:rPr>
                <w:rFonts w:ascii="Times New Roman" w:hAnsi="Times New Roman" w:cs="Times New Roman"/>
                <w:sz w:val="24"/>
                <w:szCs w:val="24"/>
                <w:lang w:val="x-none"/>
              </w:rPr>
              <w:t>Инвестиционната политика на пенсионния фонд, измененията в основните цели и ограничения на инвестиционната дейност, както и значението на показателите за постигнатата доходност и равнището на инвестиционния риск, са достъпни в офисите на дружеството и на неговата страница в интернет (</w:t>
            </w:r>
            <w:r w:rsidR="005C3CAC">
              <w:fldChar w:fldCharType="begin"/>
            </w:r>
            <w:r w:rsidR="005C3CAC">
              <w:instrText>HYPERLINK "http://www.budeshte.bg"</w:instrText>
            </w:r>
            <w:r w:rsidR="005C3CAC">
              <w:fldChar w:fldCharType="separate"/>
            </w:r>
            <w:r w:rsidR="005C3CAC" w:rsidRPr="007064A3">
              <w:rPr>
                <w:rStyle w:val="Hyperlink"/>
                <w:rFonts w:ascii="Times New Roman" w:hAnsi="Times New Roman" w:cs="Times New Roman"/>
                <w:sz w:val="24"/>
                <w:szCs w:val="24"/>
                <w:lang w:val="x-none"/>
              </w:rPr>
              <w:t>www</w:t>
            </w:r>
            <w:r w:rsidR="005C3CAC" w:rsidRPr="007064A3">
              <w:rPr>
                <w:rStyle w:val="Hyperlink"/>
                <w:rFonts w:ascii="Times New Roman" w:hAnsi="Times New Roman" w:cs="Times New Roman"/>
                <w:i/>
                <w:iCs/>
                <w:sz w:val="24"/>
                <w:szCs w:val="24"/>
              </w:rPr>
              <w:t>.</w:t>
            </w:r>
            <w:proofErr w:type="spellStart"/>
            <w:r w:rsidR="005C3CAC" w:rsidRPr="007064A3">
              <w:rPr>
                <w:rStyle w:val="Hyperlink"/>
                <w:rFonts w:ascii="Times New Roman" w:hAnsi="Times New Roman" w:cs="Times New Roman"/>
                <w:i/>
                <w:iCs/>
                <w:sz w:val="24"/>
                <w:szCs w:val="24"/>
                <w:lang w:val="en-GB"/>
              </w:rPr>
              <w:t>budeshte</w:t>
            </w:r>
            <w:proofErr w:type="spellEnd"/>
            <w:r w:rsidR="005C3CAC" w:rsidRPr="002B742C">
              <w:rPr>
                <w:rStyle w:val="Hyperlink"/>
                <w:rFonts w:ascii="Times New Roman" w:hAnsi="Times New Roman" w:cs="Times New Roman"/>
                <w:i/>
                <w:iCs/>
                <w:sz w:val="24"/>
                <w:szCs w:val="24"/>
                <w:lang w:val="ru-RU"/>
              </w:rPr>
              <w:t>.</w:t>
            </w:r>
            <w:proofErr w:type="spellStart"/>
            <w:r w:rsidR="005C3CAC" w:rsidRPr="007064A3">
              <w:rPr>
                <w:rStyle w:val="Hyperlink"/>
                <w:rFonts w:ascii="Times New Roman" w:hAnsi="Times New Roman" w:cs="Times New Roman"/>
                <w:i/>
                <w:iCs/>
                <w:sz w:val="24"/>
                <w:szCs w:val="24"/>
                <w:lang w:val="en-GB"/>
              </w:rPr>
              <w:t>bg</w:t>
            </w:r>
            <w:proofErr w:type="spellEnd"/>
            <w:r w:rsidR="005C3CAC">
              <w:fldChar w:fldCharType="end"/>
            </w:r>
            <w:r w:rsidR="005C3CAC">
              <w:rPr>
                <w:rFonts w:ascii="Times New Roman" w:hAnsi="Times New Roman" w:cs="Times New Roman"/>
                <w:sz w:val="24"/>
                <w:szCs w:val="24"/>
                <w:lang w:val="x-none"/>
              </w:rPr>
              <w:t>)</w:t>
            </w:r>
          </w:p>
          <w:p w14:paraId="443AF336" w14:textId="7D2EBA56" w:rsidR="00AB1AB5" w:rsidRDefault="00AB1AB5" w:rsidP="005C3CAC">
            <w:pPr>
              <w:widowControl w:val="0"/>
              <w:autoSpaceDE w:val="0"/>
              <w:autoSpaceDN w:val="0"/>
              <w:adjustRightInd w:val="0"/>
              <w:spacing w:after="0" w:line="240" w:lineRule="auto"/>
              <w:jc w:val="both"/>
              <w:rPr>
                <w:rFonts w:ascii="Times New Roman" w:hAnsi="Times New Roman" w:cs="Times New Roman"/>
                <w:i/>
                <w:iCs/>
                <w:sz w:val="24"/>
                <w:szCs w:val="24"/>
                <w:lang w:val="x-none"/>
              </w:rPr>
            </w:pPr>
          </w:p>
          <w:p w14:paraId="249138E8" w14:textId="6FF71C24" w:rsidR="00AB1AB5" w:rsidRDefault="00AB1AB5" w:rsidP="005C3CAC">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Допълнителна информация за доходността и стандартното отклонение на всички пенсионни фондове можете да намерите на сайта на КФН </w:t>
            </w:r>
            <w:hyperlink r:id="rId11" w:history="1">
              <w:r w:rsidR="005C3CAC" w:rsidRPr="007064A3">
                <w:rPr>
                  <w:rStyle w:val="Hyperlink"/>
                  <w:rFonts w:ascii="Times New Roman" w:hAnsi="Times New Roman" w:cs="Times New Roman"/>
                  <w:sz w:val="24"/>
                  <w:szCs w:val="24"/>
                  <w:lang w:val="x-none"/>
                </w:rPr>
                <w:t>www.fsc.bg</w:t>
              </w:r>
            </w:hyperlink>
            <w:r w:rsidR="005C3CAC">
              <w:rPr>
                <w:rFonts w:ascii="Times New Roman" w:hAnsi="Times New Roman" w:cs="Times New Roman"/>
                <w:sz w:val="24"/>
                <w:szCs w:val="24"/>
                <w:lang w:val="x-none"/>
              </w:rPr>
              <w:t>.</w:t>
            </w:r>
          </w:p>
          <w:p w14:paraId="7240F166"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 10-о число на месеца, следващ всяко календарно тримесечие, ПОД публикува на своята страница в интернет информация за обема и структурата на инвестициите по видове активи и емитенти на финансови инструменти за управлявания от него ФДЗПО. </w:t>
            </w:r>
          </w:p>
          <w:p w14:paraId="4079BD15"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10. Такси и удръжки</w:t>
            </w:r>
          </w:p>
          <w:p w14:paraId="6AB57154" w14:textId="77777777" w:rsidR="00AE624C"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управлението на фонда</w:t>
            </w:r>
            <w:r w:rsidR="00B25479" w:rsidRPr="002B742C">
              <w:rPr>
                <w:rFonts w:ascii="Times New Roman" w:hAnsi="Times New Roman" w:cs="Times New Roman"/>
                <w:sz w:val="24"/>
                <w:szCs w:val="24"/>
                <w:lang w:val="ru-RU"/>
              </w:rPr>
              <w:t>,</w:t>
            </w:r>
            <w:r>
              <w:rPr>
                <w:rFonts w:ascii="Times New Roman" w:hAnsi="Times New Roman" w:cs="Times New Roman"/>
                <w:sz w:val="24"/>
                <w:szCs w:val="24"/>
                <w:lang w:val="x-none"/>
              </w:rPr>
              <w:t xml:space="preserve"> </w:t>
            </w:r>
            <w:r w:rsidR="00B25479">
              <w:rPr>
                <w:rFonts w:ascii="Times New Roman" w:hAnsi="Times New Roman" w:cs="Times New Roman"/>
                <w:sz w:val="24"/>
                <w:szCs w:val="24"/>
              </w:rPr>
              <w:t>„ПОД-Бъдеще“ АД</w:t>
            </w:r>
            <w:r>
              <w:rPr>
                <w:rFonts w:ascii="Times New Roman" w:hAnsi="Times New Roman" w:cs="Times New Roman"/>
                <w:sz w:val="24"/>
                <w:szCs w:val="24"/>
                <w:lang w:val="x-none"/>
              </w:rPr>
              <w:t xml:space="preserve"> събира следните такси и удръжки:</w:t>
            </w:r>
          </w:p>
          <w:p w14:paraId="19579F2E" w14:textId="19DA6731"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B1AB5" w14:paraId="127520A7" w14:textId="77777777" w:rsidTr="004271B2">
              <w:trPr>
                <w:tblCellSpacing w:w="15" w:type="dxa"/>
              </w:trPr>
              <w:tc>
                <w:tcPr>
                  <w:tcW w:w="9555" w:type="dxa"/>
                </w:tcPr>
                <w:tbl>
                  <w:tblPr>
                    <w:tblW w:w="0" w:type="auto"/>
                    <w:jc w:val="center"/>
                    <w:tblLayout w:type="fixed"/>
                    <w:tblCellMar>
                      <w:left w:w="40" w:type="dxa"/>
                      <w:right w:w="40" w:type="dxa"/>
                    </w:tblCellMar>
                    <w:tblLook w:val="0000" w:firstRow="0" w:lastRow="0" w:firstColumn="0" w:lastColumn="0" w:noHBand="0" w:noVBand="0"/>
                  </w:tblPr>
                  <w:tblGrid>
                    <w:gridCol w:w="6304"/>
                    <w:gridCol w:w="2048"/>
                  </w:tblGrid>
                  <w:tr w:rsidR="00AE624C" w:rsidRPr="00AE624C" w14:paraId="3ECDD5B6" w14:textId="77777777" w:rsidTr="00AE624C">
                    <w:trPr>
                      <w:trHeight w:hRule="exact" w:val="617"/>
                      <w:jc w:val="center"/>
                    </w:trPr>
                    <w:tc>
                      <w:tcPr>
                        <w:tcW w:w="6304" w:type="dxa"/>
                        <w:tcBorders>
                          <w:top w:val="single" w:sz="6" w:space="0" w:color="auto"/>
                          <w:left w:val="single" w:sz="6" w:space="0" w:color="auto"/>
                          <w:bottom w:val="single" w:sz="6" w:space="0" w:color="auto"/>
                          <w:right w:val="single" w:sz="6" w:space="0" w:color="auto"/>
                        </w:tcBorders>
                        <w:shd w:val="clear" w:color="auto" w:fill="FFFFFF"/>
                      </w:tcPr>
                      <w:p w14:paraId="16A59D7A" w14:textId="77777777" w:rsidR="00AE624C" w:rsidRPr="00AE624C" w:rsidRDefault="00AE624C" w:rsidP="00153EF8">
                        <w:pPr>
                          <w:framePr w:hSpace="141" w:wrap="around" w:vAnchor="text" w:hAnchor="margin" w:x="-284" w:y="151"/>
                          <w:shd w:val="clear" w:color="auto" w:fill="FFFFFF"/>
                          <w:suppressOverlap/>
                          <w:rPr>
                            <w:rFonts w:ascii="Times New Roman" w:hAnsi="Times New Roman" w:cs="Times New Roman"/>
                            <w:sz w:val="24"/>
                            <w:szCs w:val="24"/>
                          </w:rPr>
                        </w:pPr>
                        <w:r w:rsidRPr="00AE624C">
                          <w:rPr>
                            <w:rFonts w:ascii="Times New Roman" w:hAnsi="Times New Roman" w:cs="Times New Roman"/>
                            <w:color w:val="000000"/>
                            <w:sz w:val="24"/>
                            <w:szCs w:val="24"/>
                          </w:rPr>
                          <w:t>Удръжка от всяка осигурителна вноска</w:t>
                        </w:r>
                      </w:p>
                    </w:tc>
                    <w:tc>
                      <w:tcPr>
                        <w:tcW w:w="2048" w:type="dxa"/>
                        <w:tcBorders>
                          <w:top w:val="single" w:sz="6" w:space="0" w:color="auto"/>
                          <w:left w:val="single" w:sz="6" w:space="0" w:color="auto"/>
                          <w:bottom w:val="single" w:sz="6" w:space="0" w:color="auto"/>
                          <w:right w:val="single" w:sz="6" w:space="0" w:color="auto"/>
                        </w:tcBorders>
                        <w:shd w:val="clear" w:color="auto" w:fill="FFFFFF"/>
                      </w:tcPr>
                      <w:p w14:paraId="6A9705FE" w14:textId="38316B14" w:rsidR="00AE624C" w:rsidRPr="000455D1" w:rsidRDefault="00AE624C" w:rsidP="00153EF8">
                        <w:pPr>
                          <w:framePr w:hSpace="141" w:wrap="around" w:vAnchor="text" w:hAnchor="margin" w:x="-284" w:y="151"/>
                          <w:shd w:val="clear" w:color="auto" w:fill="FFFFFF"/>
                          <w:suppressOverlap/>
                          <w:rPr>
                            <w:rFonts w:ascii="Times New Roman" w:hAnsi="Times New Roman" w:cs="Times New Roman"/>
                            <w:sz w:val="24"/>
                            <w:szCs w:val="24"/>
                            <w:lang w:val="en-US"/>
                          </w:rPr>
                        </w:pPr>
                        <w:r w:rsidRPr="00AE624C">
                          <w:rPr>
                            <w:rFonts w:ascii="Times New Roman" w:hAnsi="Times New Roman" w:cs="Times New Roman"/>
                            <w:color w:val="000000"/>
                            <w:sz w:val="24"/>
                            <w:szCs w:val="24"/>
                            <w:lang w:val="en-US"/>
                          </w:rPr>
                          <w:t>3.75</w:t>
                        </w:r>
                        <w:r w:rsidRPr="00AE624C">
                          <w:rPr>
                            <w:rFonts w:ascii="Times New Roman" w:hAnsi="Times New Roman" w:cs="Times New Roman"/>
                            <w:color w:val="000000"/>
                            <w:sz w:val="24"/>
                            <w:szCs w:val="24"/>
                          </w:rPr>
                          <w:t xml:space="preserve">%  </w:t>
                        </w:r>
                      </w:p>
                    </w:tc>
                  </w:tr>
                  <w:tr w:rsidR="00AE624C" w:rsidRPr="00AE624C" w14:paraId="721AC325" w14:textId="77777777" w:rsidTr="00AE624C">
                    <w:trPr>
                      <w:trHeight w:hRule="exact" w:val="604"/>
                      <w:jc w:val="center"/>
                    </w:trPr>
                    <w:tc>
                      <w:tcPr>
                        <w:tcW w:w="6304" w:type="dxa"/>
                        <w:tcBorders>
                          <w:top w:val="single" w:sz="6" w:space="0" w:color="auto"/>
                          <w:left w:val="single" w:sz="6" w:space="0" w:color="auto"/>
                          <w:bottom w:val="single" w:sz="6" w:space="0" w:color="auto"/>
                          <w:right w:val="single" w:sz="6" w:space="0" w:color="auto"/>
                        </w:tcBorders>
                        <w:shd w:val="clear" w:color="auto" w:fill="FFFFFF"/>
                      </w:tcPr>
                      <w:p w14:paraId="798C8B4B" w14:textId="77777777" w:rsidR="00AE624C" w:rsidRPr="00AE624C" w:rsidRDefault="00AE624C" w:rsidP="00153EF8">
                        <w:pPr>
                          <w:framePr w:hSpace="141" w:wrap="around" w:vAnchor="text" w:hAnchor="margin" w:x="-284" w:y="151"/>
                          <w:shd w:val="clear" w:color="auto" w:fill="FFFFFF"/>
                          <w:suppressOverlap/>
                          <w:rPr>
                            <w:rFonts w:ascii="Times New Roman" w:hAnsi="Times New Roman" w:cs="Times New Roman"/>
                            <w:sz w:val="24"/>
                            <w:szCs w:val="24"/>
                          </w:rPr>
                        </w:pPr>
                        <w:r w:rsidRPr="00AE624C">
                          <w:rPr>
                            <w:rFonts w:ascii="Times New Roman" w:hAnsi="Times New Roman" w:cs="Times New Roman"/>
                            <w:color w:val="000000"/>
                            <w:spacing w:val="-1"/>
                            <w:sz w:val="24"/>
                            <w:szCs w:val="24"/>
                          </w:rPr>
                          <w:t>Инвестиционна такса от стойността на нетните активи на фонда</w:t>
                        </w:r>
                      </w:p>
                    </w:tc>
                    <w:tc>
                      <w:tcPr>
                        <w:tcW w:w="2048" w:type="dxa"/>
                        <w:tcBorders>
                          <w:top w:val="single" w:sz="6" w:space="0" w:color="auto"/>
                          <w:left w:val="single" w:sz="6" w:space="0" w:color="auto"/>
                          <w:bottom w:val="single" w:sz="6" w:space="0" w:color="auto"/>
                          <w:right w:val="single" w:sz="6" w:space="0" w:color="auto"/>
                        </w:tcBorders>
                        <w:shd w:val="clear" w:color="auto" w:fill="FFFFFF"/>
                      </w:tcPr>
                      <w:p w14:paraId="1FC8B6D5" w14:textId="68473870" w:rsidR="00AE624C" w:rsidRPr="000455D1" w:rsidRDefault="00AE624C" w:rsidP="00153EF8">
                        <w:pPr>
                          <w:framePr w:hSpace="141" w:wrap="around" w:vAnchor="text" w:hAnchor="margin" w:x="-284" w:y="151"/>
                          <w:shd w:val="clear" w:color="auto" w:fill="FFFFFF"/>
                          <w:ind w:left="10"/>
                          <w:suppressOverlap/>
                          <w:rPr>
                            <w:rFonts w:ascii="Times New Roman" w:hAnsi="Times New Roman" w:cs="Times New Roman"/>
                            <w:sz w:val="24"/>
                            <w:szCs w:val="24"/>
                            <w:lang w:val="en-US"/>
                          </w:rPr>
                        </w:pPr>
                        <w:r w:rsidRPr="00AE624C">
                          <w:rPr>
                            <w:rFonts w:ascii="Times New Roman" w:hAnsi="Times New Roman" w:cs="Times New Roman"/>
                            <w:color w:val="000000"/>
                            <w:sz w:val="24"/>
                            <w:szCs w:val="24"/>
                          </w:rPr>
                          <w:t>0.</w:t>
                        </w:r>
                        <w:r w:rsidRPr="00AE624C">
                          <w:rPr>
                            <w:rFonts w:ascii="Times New Roman" w:hAnsi="Times New Roman" w:cs="Times New Roman"/>
                            <w:color w:val="000000"/>
                            <w:sz w:val="24"/>
                            <w:szCs w:val="24"/>
                            <w:lang w:val="en-US"/>
                          </w:rPr>
                          <w:t>75</w:t>
                        </w:r>
                        <w:r w:rsidRPr="00AE624C">
                          <w:rPr>
                            <w:rFonts w:ascii="Times New Roman" w:hAnsi="Times New Roman" w:cs="Times New Roman"/>
                            <w:color w:val="000000"/>
                            <w:sz w:val="24"/>
                            <w:szCs w:val="24"/>
                          </w:rPr>
                          <w:t xml:space="preserve">%  </w:t>
                        </w:r>
                      </w:p>
                    </w:tc>
                  </w:tr>
                </w:tbl>
                <w:p w14:paraId="5182654D" w14:textId="77777777" w:rsidR="00AB1AB5" w:rsidRDefault="00AB1AB5" w:rsidP="00153EF8">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tc>
            </w:tr>
          </w:tbl>
          <w:p w14:paraId="32726CCD"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AB1AB5" w14:paraId="521923FC" w14:textId="77777777" w:rsidTr="00DD5E15">
        <w:trPr>
          <w:tblCellSpacing w:w="15" w:type="dxa"/>
        </w:trPr>
        <w:tc>
          <w:tcPr>
            <w:tcW w:w="10005" w:type="dxa"/>
            <w:gridSpan w:val="2"/>
            <w:tcBorders>
              <w:top w:val="nil"/>
              <w:left w:val="nil"/>
              <w:bottom w:val="nil"/>
              <w:right w:val="nil"/>
            </w:tcBorders>
            <w:vAlign w:val="center"/>
          </w:tcPr>
          <w:p w14:paraId="5EC54C9E" w14:textId="77777777" w:rsidR="00AB1AB5" w:rsidRDefault="00AB1AB5" w:rsidP="00DD5E15">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B1AB5" w14:paraId="5C6B5FC4" w14:textId="77777777" w:rsidTr="00DD5E15">
        <w:trPr>
          <w:tblCellSpacing w:w="15" w:type="dxa"/>
        </w:trPr>
        <w:tc>
          <w:tcPr>
            <w:tcW w:w="10005" w:type="dxa"/>
            <w:gridSpan w:val="2"/>
            <w:tcBorders>
              <w:top w:val="nil"/>
              <w:left w:val="nil"/>
              <w:bottom w:val="nil"/>
              <w:right w:val="nil"/>
            </w:tcBorders>
            <w:vAlign w:val="center"/>
          </w:tcPr>
          <w:p w14:paraId="29866B8A" w14:textId="577E97E5"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p>
          <w:p w14:paraId="24D863AD"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11. Гаранции</w:t>
            </w:r>
          </w:p>
          <w:p w14:paraId="1C74B5D2"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Пенсионноосигурителното дружество е длъжно да постигне минимална доходност при управление на активите на фонда, която може да бъде положителна или отрицателна. Предвиденият в закона механизъм за компенсиране на недостига до минималната доходност не Ви гарантира положителна доходност. </w:t>
            </w:r>
          </w:p>
          <w:p w14:paraId="44700830" w14:textId="77777777" w:rsidR="00AB1AB5" w:rsidRPr="00FF2439"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FF2439">
              <w:rPr>
                <w:rFonts w:ascii="Times New Roman" w:hAnsi="Times New Roman" w:cs="Times New Roman"/>
                <w:sz w:val="24"/>
                <w:szCs w:val="24"/>
                <w:lang w:val="x-none"/>
              </w:rPr>
              <w:t xml:space="preserve">За лицата, които се осигуряват в универсален пенсионен фонд дружеството гарантира брутния размер на преведените по индивидуалните им партиди осигурителни вноски при определянето на пенсията им, съответно на еднократното или разсрочено изплащане при придобито право на пенсия от универсален пенсионен фонд.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B1AB5" w14:paraId="56698ABF" w14:textId="77777777" w:rsidTr="004271B2">
              <w:trPr>
                <w:tblCellSpacing w:w="15" w:type="dxa"/>
              </w:trPr>
              <w:tc>
                <w:tcPr>
                  <w:tcW w:w="9555" w:type="dxa"/>
                </w:tcPr>
                <w:tbl>
                  <w:tblPr>
                    <w:tblpPr w:leftFromText="180" w:rightFromText="180" w:vertAnchor="text" w:horzAnchor="margin" w:tblpY="-95"/>
                    <w:tblOverlap w:val="never"/>
                    <w:tblW w:w="9348"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348"/>
                  </w:tblGrid>
                  <w:tr w:rsidR="008A4818" w14:paraId="029396DF" w14:textId="77777777" w:rsidTr="008A4818">
                    <w:trPr>
                      <w:trHeight w:val="2776"/>
                      <w:tblCellSpacing w:w="0" w:type="dxa"/>
                    </w:trPr>
                    <w:tc>
                      <w:tcPr>
                        <w:tcW w:w="9348" w:type="dxa"/>
                        <w:tcBorders>
                          <w:top w:val="single" w:sz="6" w:space="0" w:color="A0A0A0"/>
                          <w:left w:val="single" w:sz="6" w:space="0" w:color="A0A0A0"/>
                          <w:bottom w:val="single" w:sz="6" w:space="0" w:color="F0F0F0"/>
                          <w:right w:val="single" w:sz="6" w:space="0" w:color="F0F0F0"/>
                        </w:tcBorders>
                        <w:vAlign w:val="center"/>
                      </w:tcPr>
                      <w:p w14:paraId="58C65859" w14:textId="77777777" w:rsidR="008A4818" w:rsidRPr="00FF2439" w:rsidRDefault="008A4818" w:rsidP="008A481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4C383DC0" w14:textId="77777777" w:rsidR="008A4818" w:rsidRPr="00FF2439" w:rsidRDefault="008A4818" w:rsidP="008A4818">
                        <w:pPr>
                          <w:shd w:val="clear" w:color="auto" w:fill="FFFFFF"/>
                          <w:spacing w:before="226" w:line="226" w:lineRule="exact"/>
                          <w:ind w:left="110"/>
                          <w:rPr>
                            <w:rFonts w:ascii="Times New Roman" w:hAnsi="Times New Roman" w:cs="Times New Roman"/>
                            <w:sz w:val="24"/>
                            <w:szCs w:val="24"/>
                          </w:rPr>
                        </w:pPr>
                        <w:r w:rsidRPr="00FF2439">
                          <w:rPr>
                            <w:rFonts w:ascii="Times New Roman" w:hAnsi="Times New Roman" w:cs="Times New Roman"/>
                            <w:b/>
                            <w:bCs/>
                            <w:i/>
                            <w:iCs/>
                            <w:color w:val="000000"/>
                            <w:sz w:val="24"/>
                            <w:szCs w:val="24"/>
                          </w:rPr>
                          <w:t xml:space="preserve">Вие </w:t>
                        </w:r>
                        <w:r w:rsidRPr="00FF2439">
                          <w:rPr>
                            <w:rFonts w:ascii="Times New Roman" w:hAnsi="Times New Roman" w:cs="Times New Roman"/>
                            <w:color w:val="000000"/>
                            <w:sz w:val="24"/>
                            <w:szCs w:val="24"/>
                          </w:rPr>
                          <w:t xml:space="preserve">можете да получите допълнителна информация за дейността на </w:t>
                        </w:r>
                        <w:r w:rsidRPr="00FF2439">
                          <w:rPr>
                            <w:rFonts w:ascii="Times New Roman" w:hAnsi="Times New Roman" w:cs="Times New Roman"/>
                            <w:color w:val="000000"/>
                            <w:sz w:val="24"/>
                            <w:szCs w:val="24"/>
                            <w:lang w:val="ru-RU"/>
                          </w:rPr>
                          <w:t>“</w:t>
                        </w:r>
                        <w:r w:rsidRPr="00FF2439">
                          <w:rPr>
                            <w:rFonts w:ascii="Times New Roman" w:hAnsi="Times New Roman" w:cs="Times New Roman"/>
                            <w:color w:val="000000"/>
                            <w:sz w:val="24"/>
                            <w:szCs w:val="24"/>
                          </w:rPr>
                          <w:t>ПОД-Бъдеще</w:t>
                        </w:r>
                        <w:r w:rsidRPr="00FF2439">
                          <w:rPr>
                            <w:rFonts w:ascii="Times New Roman" w:hAnsi="Times New Roman" w:cs="Times New Roman"/>
                            <w:color w:val="000000"/>
                            <w:sz w:val="24"/>
                            <w:szCs w:val="24"/>
                            <w:lang w:val="ru-RU"/>
                          </w:rPr>
                          <w:t>”</w:t>
                        </w:r>
                        <w:r w:rsidRPr="00FF2439">
                          <w:rPr>
                            <w:rFonts w:ascii="Times New Roman" w:hAnsi="Times New Roman" w:cs="Times New Roman"/>
                            <w:color w:val="000000"/>
                            <w:sz w:val="24"/>
                            <w:szCs w:val="24"/>
                          </w:rPr>
                          <w:t>АД</w:t>
                        </w:r>
                      </w:p>
                      <w:p w14:paraId="24A5CC6A" w14:textId="77777777" w:rsidR="008A4818" w:rsidRPr="00FF2439" w:rsidRDefault="008A4818" w:rsidP="008A4818">
                        <w:pPr>
                          <w:widowControl w:val="0"/>
                          <w:numPr>
                            <w:ilvl w:val="0"/>
                            <w:numId w:val="2"/>
                          </w:numPr>
                          <w:shd w:val="clear" w:color="auto" w:fill="FFFFFF"/>
                          <w:tabs>
                            <w:tab w:val="left" w:pos="226"/>
                          </w:tabs>
                          <w:autoSpaceDE w:val="0"/>
                          <w:autoSpaceDN w:val="0"/>
                          <w:adjustRightInd w:val="0"/>
                          <w:spacing w:after="0" w:line="226" w:lineRule="exact"/>
                          <w:ind w:left="110"/>
                          <w:rPr>
                            <w:rFonts w:ascii="Times New Roman" w:hAnsi="Times New Roman" w:cs="Times New Roman"/>
                            <w:color w:val="000000"/>
                            <w:sz w:val="24"/>
                            <w:szCs w:val="24"/>
                          </w:rPr>
                        </w:pPr>
                        <w:r w:rsidRPr="00FF2439">
                          <w:rPr>
                            <w:rFonts w:ascii="Times New Roman" w:hAnsi="Times New Roman" w:cs="Times New Roman"/>
                            <w:color w:val="000000"/>
                            <w:sz w:val="24"/>
                            <w:szCs w:val="24"/>
                          </w:rPr>
                          <w:t>на тел. 0</w:t>
                        </w:r>
                        <w:r w:rsidRPr="00FF2439">
                          <w:rPr>
                            <w:rFonts w:ascii="Times New Roman" w:hAnsi="Times New Roman" w:cs="Times New Roman"/>
                            <w:color w:val="000000"/>
                            <w:sz w:val="24"/>
                            <w:szCs w:val="24"/>
                            <w:lang w:val="en-US"/>
                          </w:rPr>
                          <w:t>700 14 250</w:t>
                        </w:r>
                        <w:r w:rsidRPr="00FF2439">
                          <w:rPr>
                            <w:rFonts w:ascii="Times New Roman" w:hAnsi="Times New Roman" w:cs="Times New Roman"/>
                            <w:color w:val="000000"/>
                            <w:sz w:val="24"/>
                            <w:szCs w:val="24"/>
                          </w:rPr>
                          <w:t>;</w:t>
                        </w:r>
                      </w:p>
                      <w:p w14:paraId="423AC1F6" w14:textId="77777777" w:rsidR="005C3CAC" w:rsidRPr="00FF2439" w:rsidRDefault="005C3CAC" w:rsidP="005C3CAC">
                        <w:pPr>
                          <w:widowControl w:val="0"/>
                          <w:numPr>
                            <w:ilvl w:val="0"/>
                            <w:numId w:val="2"/>
                          </w:numPr>
                          <w:shd w:val="clear" w:color="auto" w:fill="FFFFFF"/>
                          <w:tabs>
                            <w:tab w:val="left" w:pos="226"/>
                            <w:tab w:val="left" w:leader="dot" w:pos="907"/>
                          </w:tabs>
                          <w:autoSpaceDE w:val="0"/>
                          <w:autoSpaceDN w:val="0"/>
                          <w:adjustRightInd w:val="0"/>
                          <w:spacing w:after="0" w:line="226" w:lineRule="exact"/>
                          <w:ind w:left="110"/>
                          <w:rPr>
                            <w:rFonts w:ascii="Times New Roman" w:hAnsi="Times New Roman" w:cs="Times New Roman"/>
                            <w:color w:val="000000"/>
                            <w:sz w:val="24"/>
                            <w:szCs w:val="24"/>
                          </w:rPr>
                        </w:pPr>
                        <w:hyperlink r:id="rId12" w:history="1">
                          <w:r w:rsidRPr="00FF2439">
                            <w:rPr>
                              <w:rStyle w:val="Hyperlink"/>
                              <w:rFonts w:ascii="Times New Roman" w:hAnsi="Times New Roman" w:cs="Times New Roman"/>
                              <w:spacing w:val="-4"/>
                              <w:sz w:val="24"/>
                              <w:szCs w:val="24"/>
                              <w:lang w:val="en-US"/>
                            </w:rPr>
                            <w:t>www.budeshte.bg</w:t>
                          </w:r>
                        </w:hyperlink>
                        <w:r w:rsidRPr="00FF2439">
                          <w:rPr>
                            <w:rFonts w:ascii="Times New Roman" w:hAnsi="Times New Roman" w:cs="Times New Roman"/>
                            <w:color w:val="000000"/>
                            <w:spacing w:val="-4"/>
                            <w:sz w:val="24"/>
                            <w:szCs w:val="24"/>
                            <w:lang w:val="en-US"/>
                          </w:rPr>
                          <w:t>;</w:t>
                        </w:r>
                      </w:p>
                      <w:p w14:paraId="14C69EDC" w14:textId="5104DA62" w:rsidR="008A4818" w:rsidRPr="00FF2439" w:rsidRDefault="008A4818" w:rsidP="005C3CAC">
                        <w:pPr>
                          <w:widowControl w:val="0"/>
                          <w:numPr>
                            <w:ilvl w:val="0"/>
                            <w:numId w:val="2"/>
                          </w:numPr>
                          <w:shd w:val="clear" w:color="auto" w:fill="FFFFFF"/>
                          <w:tabs>
                            <w:tab w:val="left" w:pos="226"/>
                            <w:tab w:val="left" w:leader="dot" w:pos="907"/>
                          </w:tabs>
                          <w:autoSpaceDE w:val="0"/>
                          <w:autoSpaceDN w:val="0"/>
                          <w:adjustRightInd w:val="0"/>
                          <w:spacing w:after="0" w:line="226" w:lineRule="exact"/>
                          <w:ind w:left="110"/>
                          <w:rPr>
                            <w:rFonts w:ascii="Times New Roman" w:hAnsi="Times New Roman" w:cs="Times New Roman"/>
                            <w:color w:val="000000"/>
                            <w:sz w:val="24"/>
                            <w:szCs w:val="24"/>
                          </w:rPr>
                        </w:pPr>
                        <w:r w:rsidRPr="00FF2439">
                          <w:rPr>
                            <w:rFonts w:ascii="Times New Roman" w:hAnsi="Times New Roman" w:cs="Times New Roman"/>
                            <w:color w:val="000000"/>
                            <w:sz w:val="24"/>
                            <w:szCs w:val="24"/>
                          </w:rPr>
                          <w:t>от неговите осигурителни посредници и служители;</w:t>
                        </w:r>
                      </w:p>
                      <w:p w14:paraId="22C918E4" w14:textId="77777777" w:rsidR="008A4818" w:rsidRPr="00FF2439" w:rsidRDefault="008A4818" w:rsidP="008A4818">
                        <w:pPr>
                          <w:widowControl w:val="0"/>
                          <w:numPr>
                            <w:ilvl w:val="0"/>
                            <w:numId w:val="2"/>
                          </w:numPr>
                          <w:shd w:val="clear" w:color="auto" w:fill="FFFFFF"/>
                          <w:tabs>
                            <w:tab w:val="left" w:pos="226"/>
                          </w:tabs>
                          <w:autoSpaceDE w:val="0"/>
                          <w:autoSpaceDN w:val="0"/>
                          <w:adjustRightInd w:val="0"/>
                          <w:spacing w:after="0" w:line="226" w:lineRule="exact"/>
                          <w:ind w:left="110"/>
                          <w:rPr>
                            <w:rFonts w:ascii="Times New Roman" w:hAnsi="Times New Roman" w:cs="Times New Roman"/>
                            <w:color w:val="000000"/>
                            <w:sz w:val="24"/>
                            <w:szCs w:val="24"/>
                          </w:rPr>
                        </w:pPr>
                        <w:r w:rsidRPr="00FF2439">
                          <w:rPr>
                            <w:rFonts w:ascii="Times New Roman" w:hAnsi="Times New Roman" w:cs="Times New Roman"/>
                            <w:color w:val="000000"/>
                            <w:sz w:val="24"/>
                            <w:szCs w:val="24"/>
                          </w:rPr>
                          <w:t>от Комисията за финансов надзор (</w:t>
                        </w:r>
                        <w:hyperlink r:id="rId13" w:history="1">
                          <w:r w:rsidRPr="00FF2439">
                            <w:rPr>
                              <w:rFonts w:ascii="Times New Roman" w:hAnsi="Times New Roman" w:cs="Times New Roman"/>
                              <w:color w:val="000080"/>
                              <w:sz w:val="24"/>
                              <w:szCs w:val="24"/>
                              <w:u w:val="single"/>
                            </w:rPr>
                            <w:t>www.fsc.bg</w:t>
                          </w:r>
                        </w:hyperlink>
                        <w:r w:rsidRPr="00FF2439">
                          <w:rPr>
                            <w:rFonts w:ascii="Times New Roman" w:hAnsi="Times New Roman" w:cs="Times New Roman"/>
                            <w:color w:val="000000"/>
                            <w:sz w:val="24"/>
                            <w:szCs w:val="24"/>
                          </w:rPr>
                          <w:t>).</w:t>
                        </w:r>
                      </w:p>
                      <w:p w14:paraId="17CCBACC" w14:textId="77777777" w:rsidR="008A4818" w:rsidRPr="00AE624C" w:rsidRDefault="008A4818" w:rsidP="008A4818">
                        <w:pPr>
                          <w:shd w:val="clear" w:color="auto" w:fill="FFFFFF"/>
                          <w:spacing w:before="197" w:line="230" w:lineRule="exact"/>
                          <w:ind w:left="110"/>
                          <w:rPr>
                            <w:rFonts w:ascii="Times New Roman" w:hAnsi="Times New Roman" w:cs="Times New Roman"/>
                            <w:sz w:val="24"/>
                            <w:szCs w:val="24"/>
                          </w:rPr>
                        </w:pPr>
                        <w:r w:rsidRPr="00FF2439">
                          <w:rPr>
                            <w:rFonts w:ascii="Times New Roman" w:hAnsi="Times New Roman" w:cs="Times New Roman"/>
                            <w:color w:val="000000"/>
                            <w:sz w:val="24"/>
                            <w:szCs w:val="24"/>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p w14:paraId="2426E107" w14:textId="77777777" w:rsidR="008A4818" w:rsidRDefault="008A4818" w:rsidP="008A481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14:paraId="18F6FD8B" w14:textId="77777777" w:rsidR="00AB1AB5" w:rsidRDefault="00AB1AB5" w:rsidP="008A4818">
                  <w:pPr>
                    <w:framePr w:hSpace="141" w:wrap="around" w:vAnchor="text" w:hAnchor="margin" w:x="-284" w:y="151"/>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tc>
            </w:tr>
          </w:tbl>
          <w:p w14:paraId="29FCA5A4"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AB1AB5" w14:paraId="6F774922" w14:textId="77777777" w:rsidTr="00DD5E15">
        <w:trPr>
          <w:tblCellSpacing w:w="15" w:type="dxa"/>
        </w:trPr>
        <w:tc>
          <w:tcPr>
            <w:tcW w:w="10005" w:type="dxa"/>
            <w:gridSpan w:val="2"/>
            <w:tcBorders>
              <w:top w:val="nil"/>
              <w:left w:val="nil"/>
              <w:bottom w:val="nil"/>
              <w:right w:val="nil"/>
            </w:tcBorders>
            <w:vAlign w:val="center"/>
          </w:tcPr>
          <w:tbl>
            <w:tblPr>
              <w:tblpPr w:leftFromText="180" w:rightFromText="180" w:vertAnchor="text" w:horzAnchor="margin" w:tblpX="-150" w:tblpY="179"/>
              <w:tblOverlap w:val="never"/>
              <w:tblW w:w="949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490"/>
            </w:tblGrid>
            <w:tr w:rsidR="008A4818" w14:paraId="72D3A688" w14:textId="77777777" w:rsidTr="008A4818">
              <w:trPr>
                <w:trHeight w:val="3434"/>
                <w:tblCellSpacing w:w="0" w:type="dxa"/>
              </w:trPr>
              <w:tc>
                <w:tcPr>
                  <w:tcW w:w="9490" w:type="dxa"/>
                  <w:tcBorders>
                    <w:top w:val="single" w:sz="6" w:space="0" w:color="A0A0A0"/>
                    <w:left w:val="single" w:sz="6" w:space="0" w:color="A0A0A0"/>
                    <w:bottom w:val="single" w:sz="6" w:space="0" w:color="F0F0F0"/>
                    <w:right w:val="single" w:sz="6" w:space="0" w:color="F0F0F0"/>
                  </w:tcBorders>
                  <w:vAlign w:val="center"/>
                </w:tcPr>
                <w:p w14:paraId="1AEC1558" w14:textId="77777777" w:rsidR="008A4818" w:rsidRDefault="008A4818" w:rsidP="008A481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6DFB8EB5" w14:textId="77777777" w:rsidR="008A4818" w:rsidRPr="00AE624C" w:rsidRDefault="008A4818" w:rsidP="008A481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53040C">
                    <w:rPr>
                      <w:rFonts w:ascii="Times New Roman" w:hAnsi="Times New Roman" w:cs="Times New Roman"/>
                      <w:sz w:val="24"/>
                      <w:szCs w:val="24"/>
                      <w:lang w:val="x-none"/>
                    </w:rPr>
                    <w:t>В</w:t>
                  </w:r>
                  <w:r>
                    <w:rPr>
                      <w:rFonts w:ascii="Times New Roman" w:hAnsi="Times New Roman" w:cs="Times New Roman"/>
                      <w:b/>
                      <w:bCs/>
                      <w:i/>
                      <w:iCs/>
                      <w:sz w:val="24"/>
                      <w:szCs w:val="24"/>
                      <w:lang w:val="x-none"/>
                    </w:rPr>
                    <w:t xml:space="preserve"> </w:t>
                  </w:r>
                  <w:r>
                    <w:rPr>
                      <w:rFonts w:ascii="Times New Roman" w:hAnsi="Times New Roman" w:cs="Times New Roman"/>
                      <w:sz w:val="24"/>
                      <w:szCs w:val="24"/>
                      <w:lang w:val="x-none"/>
                    </w:rPr>
                    <w:t>случай че считате</w:t>
                  </w:r>
                  <w:r w:rsidRPr="0053040C">
                    <w:rPr>
                      <w:rFonts w:ascii="Times New Roman" w:hAnsi="Times New Roman" w:cs="Times New Roman"/>
                      <w:sz w:val="24"/>
                      <w:szCs w:val="24"/>
                      <w:lang w:val="x-none"/>
                    </w:rPr>
                    <w:t>,</w:t>
                  </w:r>
                  <w:r>
                    <w:rPr>
                      <w:rFonts w:ascii="Times New Roman" w:hAnsi="Times New Roman" w:cs="Times New Roman"/>
                      <w:b/>
                      <w:bCs/>
                      <w:i/>
                      <w:iCs/>
                      <w:sz w:val="24"/>
                      <w:szCs w:val="24"/>
                      <w:lang w:val="x-none"/>
                    </w:rPr>
                    <w:t xml:space="preserve"> </w:t>
                  </w:r>
                  <w:r>
                    <w:rPr>
                      <w:rFonts w:ascii="Times New Roman" w:hAnsi="Times New Roman" w:cs="Times New Roman"/>
                      <w:sz w:val="24"/>
                      <w:szCs w:val="24"/>
                      <w:lang w:val="x-none"/>
                    </w:rPr>
                    <w:t>че Вашите права са нарушени</w:t>
                  </w:r>
                  <w:r w:rsidRPr="0053040C">
                    <w:rPr>
                      <w:rFonts w:ascii="Times New Roman" w:hAnsi="Times New Roman" w:cs="Times New Roman"/>
                      <w:sz w:val="24"/>
                      <w:szCs w:val="24"/>
                      <w:lang w:val="x-none"/>
                    </w:rPr>
                    <w:t>,</w:t>
                  </w:r>
                  <w:r>
                    <w:rPr>
                      <w:rFonts w:ascii="Times New Roman" w:hAnsi="Times New Roman" w:cs="Times New Roman"/>
                      <w:b/>
                      <w:bCs/>
                      <w:i/>
                      <w:iCs/>
                      <w:sz w:val="24"/>
                      <w:szCs w:val="24"/>
                      <w:lang w:val="x-none"/>
                    </w:rPr>
                    <w:t xml:space="preserve"> </w:t>
                  </w:r>
                  <w:r>
                    <w:rPr>
                      <w:rFonts w:ascii="Times New Roman" w:hAnsi="Times New Roman" w:cs="Times New Roman"/>
                      <w:sz w:val="24"/>
                      <w:szCs w:val="24"/>
                      <w:lang w:val="x-none"/>
                    </w:rPr>
                    <w:t>Вие можете да отнесете въпроса по Ваш избор до</w:t>
                  </w:r>
                  <w:r>
                    <w:rPr>
                      <w:rFonts w:ascii="Times New Roman" w:hAnsi="Times New Roman" w:cs="Times New Roman"/>
                      <w:b/>
                      <w:bCs/>
                      <w:i/>
                      <w:iCs/>
                      <w:sz w:val="24"/>
                      <w:szCs w:val="24"/>
                      <w:lang w:val="x-none"/>
                    </w:rPr>
                    <w:t>:</w:t>
                  </w:r>
                </w:p>
                <w:p w14:paraId="669EA95E" w14:textId="77777777" w:rsidR="008A4818" w:rsidRPr="00AE624C" w:rsidRDefault="008A4818" w:rsidP="008A4818">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x-none"/>
                    </w:rPr>
                  </w:pPr>
                  <w:r w:rsidRPr="00AE624C">
                    <w:rPr>
                      <w:rFonts w:ascii="Times New Roman" w:hAnsi="Times New Roman" w:cs="Times New Roman"/>
                      <w:sz w:val="24"/>
                      <w:szCs w:val="24"/>
                      <w:lang w:val="x-none"/>
                    </w:rPr>
                    <w:t xml:space="preserve"> “ПОД-БЪДЕЩЕ” АД</w:t>
                  </w:r>
                </w:p>
                <w:p w14:paraId="6FD45F7A" w14:textId="77777777" w:rsidR="008A4818" w:rsidRPr="00AE624C" w:rsidRDefault="008A4818" w:rsidP="008A4818">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rPr>
                    <w:t xml:space="preserve"> </w:t>
                  </w:r>
                  <w:r w:rsidRPr="00AE624C">
                    <w:rPr>
                      <w:rFonts w:ascii="Times New Roman" w:hAnsi="Times New Roman" w:cs="Times New Roman"/>
                      <w:sz w:val="24"/>
                      <w:szCs w:val="24"/>
                      <w:lang w:val="x-none"/>
                    </w:rPr>
                    <w:t>секторната помирителна комисия или медиатор към Комисията за защита на 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w:t>
                  </w:r>
                </w:p>
                <w:p w14:paraId="415FAD7A" w14:textId="77777777" w:rsidR="008A4818" w:rsidRPr="00AE624C" w:rsidRDefault="008A4818" w:rsidP="008A4818">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rPr>
                    <w:t xml:space="preserve"> </w:t>
                  </w:r>
                  <w:r w:rsidRPr="00AE624C">
                    <w:rPr>
                      <w:rFonts w:ascii="Times New Roman" w:hAnsi="Times New Roman" w:cs="Times New Roman"/>
                      <w:sz w:val="24"/>
                      <w:szCs w:val="24"/>
                      <w:lang w:val="x-none"/>
                    </w:rPr>
                    <w:t>Комисията за финансов надзор</w:t>
                  </w:r>
                </w:p>
                <w:p w14:paraId="0E8EF95D" w14:textId="77777777" w:rsidR="008A4818" w:rsidRPr="00AE624C" w:rsidRDefault="008A4818" w:rsidP="008A4818">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rPr>
                    <w:t xml:space="preserve"> </w:t>
                  </w:r>
                  <w:r w:rsidRPr="00AE624C">
                    <w:rPr>
                      <w:rFonts w:ascii="Times New Roman" w:hAnsi="Times New Roman" w:cs="Times New Roman"/>
                      <w:sz w:val="24"/>
                      <w:szCs w:val="24"/>
                      <w:lang w:val="x-none"/>
                    </w:rPr>
                    <w:t>Съда</w:t>
                  </w:r>
                </w:p>
                <w:p w14:paraId="1E0128AC" w14:textId="77777777" w:rsidR="008A4818" w:rsidRDefault="008A4818" w:rsidP="008A4818">
                  <w:pPr>
                    <w:shd w:val="clear" w:color="auto" w:fill="FFFFFF"/>
                    <w:tabs>
                      <w:tab w:val="left" w:pos="226"/>
                    </w:tabs>
                    <w:spacing w:line="226" w:lineRule="exact"/>
                    <w:ind w:left="110"/>
                    <w:rPr>
                      <w:color w:val="000000"/>
                    </w:rPr>
                  </w:pPr>
                </w:p>
                <w:p w14:paraId="2D8217B1" w14:textId="77777777" w:rsidR="008A4818" w:rsidRDefault="008A4818" w:rsidP="008A481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14:paraId="56B4DD4B" w14:textId="77777777" w:rsidR="00AB1AB5" w:rsidRDefault="00AB1AB5"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pPr w:leftFromText="180" w:rightFromText="180" w:vertAnchor="page" w:horzAnchor="margin" w:tblpY="240"/>
              <w:tblOverlap w:val="never"/>
              <w:tblW w:w="949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771"/>
              <w:gridCol w:w="2719"/>
            </w:tblGrid>
            <w:tr w:rsidR="008A4818" w14:paraId="2AA65A4C" w14:textId="77777777" w:rsidTr="008A4818">
              <w:trPr>
                <w:trHeight w:val="2391"/>
                <w:tblCellSpacing w:w="0" w:type="dxa"/>
              </w:trPr>
              <w:tc>
                <w:tcPr>
                  <w:tcW w:w="6771" w:type="dxa"/>
                  <w:tcBorders>
                    <w:top w:val="single" w:sz="6" w:space="0" w:color="A0A0A0"/>
                    <w:left w:val="single" w:sz="6" w:space="0" w:color="A0A0A0"/>
                    <w:bottom w:val="single" w:sz="6" w:space="0" w:color="F0F0F0"/>
                    <w:right w:val="single" w:sz="6" w:space="0" w:color="F0F0F0"/>
                  </w:tcBorders>
                  <w:vAlign w:val="center"/>
                </w:tcPr>
                <w:p w14:paraId="45DAEA2A" w14:textId="77777777" w:rsidR="008A4818" w:rsidRDefault="008A4818" w:rsidP="008A481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7A562E49" w14:textId="77777777" w:rsidR="008A4818" w:rsidRPr="0053040C" w:rsidRDefault="008A4818" w:rsidP="008A4818">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53040C">
                    <w:rPr>
                      <w:rFonts w:ascii="Times New Roman" w:hAnsi="Times New Roman" w:cs="Times New Roman"/>
                      <w:b/>
                      <w:bCs/>
                      <w:sz w:val="24"/>
                      <w:szCs w:val="24"/>
                      <w:lang w:val="x-none"/>
                    </w:rPr>
                    <w:t>Моля, прочетете внимателно правилника на фонда, инвестиционната политика и Вашия осигурителен договор, техните разпоредби имат предимство пред този документ!</w:t>
                  </w:r>
                </w:p>
              </w:tc>
              <w:tc>
                <w:tcPr>
                  <w:tcW w:w="2719" w:type="dxa"/>
                  <w:tcBorders>
                    <w:top w:val="single" w:sz="6" w:space="0" w:color="A0A0A0"/>
                    <w:left w:val="single" w:sz="6" w:space="0" w:color="A0A0A0"/>
                    <w:bottom w:val="single" w:sz="6" w:space="0" w:color="F0F0F0"/>
                    <w:right w:val="single" w:sz="6" w:space="0" w:color="F0F0F0"/>
                  </w:tcBorders>
                  <w:vAlign w:val="center"/>
                </w:tcPr>
                <w:p w14:paraId="01656A29" w14:textId="7AF27797" w:rsidR="008A4818" w:rsidRPr="0053040C" w:rsidRDefault="008A4818" w:rsidP="008A4818">
                  <w:pPr>
                    <w:widowControl w:val="0"/>
                    <w:autoSpaceDE w:val="0"/>
                    <w:autoSpaceDN w:val="0"/>
                    <w:adjustRightInd w:val="0"/>
                    <w:spacing w:after="0" w:line="240" w:lineRule="auto"/>
                    <w:ind w:firstLine="480"/>
                    <w:jc w:val="both"/>
                    <w:rPr>
                      <w:rFonts w:ascii="Times New Roman" w:hAnsi="Times New Roman" w:cs="Times New Roman"/>
                      <w:b/>
                      <w:bCs/>
                      <w:sz w:val="24"/>
                      <w:szCs w:val="24"/>
                    </w:rPr>
                  </w:pPr>
                  <w:r w:rsidRPr="0053040C">
                    <w:rPr>
                      <w:rFonts w:ascii="Times New Roman" w:hAnsi="Times New Roman" w:cs="Times New Roman"/>
                      <w:b/>
                      <w:bCs/>
                      <w:sz w:val="24"/>
                      <w:szCs w:val="24"/>
                      <w:lang w:val="x-none"/>
                    </w:rPr>
                    <w:t>Този документ е изготвен на</w:t>
                  </w:r>
                  <w:r w:rsidR="00153EF8">
                    <w:rPr>
                      <w:rFonts w:ascii="Times New Roman" w:hAnsi="Times New Roman" w:cs="Times New Roman"/>
                      <w:b/>
                      <w:bCs/>
                      <w:sz w:val="24"/>
                      <w:szCs w:val="24"/>
                      <w:lang w:val="x-none"/>
                    </w:rPr>
                    <w:t xml:space="preserve"> </w:t>
                  </w:r>
                  <w:r w:rsidR="00153EF8" w:rsidRPr="00153EF8">
                    <w:rPr>
                      <w:rFonts w:ascii="Times New Roman" w:hAnsi="Times New Roman" w:cs="Times New Roman"/>
                      <w:b/>
                      <w:bCs/>
                      <w:sz w:val="24"/>
                      <w:szCs w:val="24"/>
                    </w:rPr>
                    <w:t>17.</w:t>
                  </w:r>
                  <w:r w:rsidR="000455D1" w:rsidRPr="00153EF8">
                    <w:rPr>
                      <w:rFonts w:ascii="Times New Roman" w:hAnsi="Times New Roman" w:cs="Times New Roman"/>
                      <w:b/>
                      <w:bCs/>
                      <w:sz w:val="24"/>
                      <w:szCs w:val="24"/>
                      <w:lang w:val="en-US"/>
                    </w:rPr>
                    <w:t>03</w:t>
                  </w:r>
                  <w:r w:rsidR="00E93939" w:rsidRPr="00153EF8">
                    <w:rPr>
                      <w:rFonts w:ascii="Times New Roman" w:hAnsi="Times New Roman" w:cs="Times New Roman"/>
                      <w:b/>
                      <w:bCs/>
                      <w:sz w:val="24"/>
                      <w:szCs w:val="24"/>
                    </w:rPr>
                    <w:t>.2026 г.</w:t>
                  </w:r>
                </w:p>
              </w:tc>
            </w:tr>
          </w:tbl>
          <w:p w14:paraId="61BB74A8" w14:textId="644BEB04" w:rsidR="001D7C2B" w:rsidRDefault="001D7C2B" w:rsidP="00DD5E15">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14:paraId="48C32CB0" w14:textId="6C4396D8" w:rsidR="00B67402" w:rsidRDefault="005A51EF">
      <w:r>
        <w:br w:type="textWrapping" w:clear="all"/>
      </w:r>
    </w:p>
    <w:sectPr w:rsidR="00B67402" w:rsidSect="00DD5E15">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EA7D" w14:textId="77777777" w:rsidR="00887B6D" w:rsidRDefault="00887B6D" w:rsidP="00DD5E15">
      <w:pPr>
        <w:spacing w:after="0" w:line="240" w:lineRule="auto"/>
      </w:pPr>
      <w:r>
        <w:separator/>
      </w:r>
    </w:p>
  </w:endnote>
  <w:endnote w:type="continuationSeparator" w:id="0">
    <w:p w14:paraId="57C02D0C" w14:textId="77777777" w:rsidR="00887B6D" w:rsidRDefault="00887B6D" w:rsidP="00DD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4426" w14:textId="77777777" w:rsidR="00887B6D" w:rsidRDefault="00887B6D" w:rsidP="00DD5E15">
      <w:pPr>
        <w:spacing w:after="0" w:line="240" w:lineRule="auto"/>
      </w:pPr>
      <w:r>
        <w:separator/>
      </w:r>
    </w:p>
  </w:footnote>
  <w:footnote w:type="continuationSeparator" w:id="0">
    <w:p w14:paraId="500EE8EC" w14:textId="77777777" w:rsidR="00887B6D" w:rsidRDefault="00887B6D" w:rsidP="00DD5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EA1310"/>
    <w:lvl w:ilvl="0">
      <w:numFmt w:val="bullet"/>
      <w:lvlText w:val="*"/>
      <w:lvlJc w:val="left"/>
    </w:lvl>
  </w:abstractNum>
  <w:abstractNum w:abstractNumId="1" w15:restartNumberingAfterBreak="0">
    <w:nsid w:val="0A5343C7"/>
    <w:multiLevelType w:val="hybridMultilevel"/>
    <w:tmpl w:val="4FDC3048"/>
    <w:lvl w:ilvl="0" w:tplc="FD32201C">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2" w15:restartNumberingAfterBreak="0">
    <w:nsid w:val="0B7F38B6"/>
    <w:multiLevelType w:val="hybridMultilevel"/>
    <w:tmpl w:val="38346E0E"/>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3" w15:restartNumberingAfterBreak="0">
    <w:nsid w:val="156F7AD7"/>
    <w:multiLevelType w:val="singleLevel"/>
    <w:tmpl w:val="DA127E72"/>
    <w:lvl w:ilvl="0">
      <w:start w:val="2"/>
      <w:numFmt w:val="decimal"/>
      <w:lvlText w:val="%1."/>
      <w:legacy w:legacy="1" w:legacySpace="0" w:legacyIndent="202"/>
      <w:lvlJc w:val="left"/>
      <w:rPr>
        <w:rFonts w:ascii="Times New Roman" w:hAnsi="Times New Roman" w:cs="Times New Roman" w:hint="default"/>
      </w:rPr>
    </w:lvl>
  </w:abstractNum>
  <w:abstractNum w:abstractNumId="4" w15:restartNumberingAfterBreak="0">
    <w:nsid w:val="4B8B4664"/>
    <w:multiLevelType w:val="hybridMultilevel"/>
    <w:tmpl w:val="AEC09BEE"/>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num w:numId="1" w16cid:durableId="1494948595">
    <w:abstractNumId w:val="3"/>
  </w:num>
  <w:num w:numId="2" w16cid:durableId="1353070113">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3" w16cid:durableId="1319269066">
    <w:abstractNumId w:val="1"/>
  </w:num>
  <w:num w:numId="4" w16cid:durableId="1855342221">
    <w:abstractNumId w:val="4"/>
  </w:num>
  <w:num w:numId="5" w16cid:durableId="1618633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B5"/>
    <w:rsid w:val="00043D3B"/>
    <w:rsid w:val="000455D1"/>
    <w:rsid w:val="000E4E75"/>
    <w:rsid w:val="00106EB6"/>
    <w:rsid w:val="00153EF8"/>
    <w:rsid w:val="0017361C"/>
    <w:rsid w:val="001D7C2B"/>
    <w:rsid w:val="001E3DCC"/>
    <w:rsid w:val="00223A92"/>
    <w:rsid w:val="002B742C"/>
    <w:rsid w:val="00327624"/>
    <w:rsid w:val="003A66D2"/>
    <w:rsid w:val="00422F96"/>
    <w:rsid w:val="004E446B"/>
    <w:rsid w:val="00525697"/>
    <w:rsid w:val="0053040C"/>
    <w:rsid w:val="00544443"/>
    <w:rsid w:val="00591277"/>
    <w:rsid w:val="005A51EF"/>
    <w:rsid w:val="005C3CAC"/>
    <w:rsid w:val="006079E3"/>
    <w:rsid w:val="006D775B"/>
    <w:rsid w:val="00810D6E"/>
    <w:rsid w:val="00860CA2"/>
    <w:rsid w:val="00887006"/>
    <w:rsid w:val="00887B6D"/>
    <w:rsid w:val="008A4818"/>
    <w:rsid w:val="00987E2E"/>
    <w:rsid w:val="009A353C"/>
    <w:rsid w:val="009F72AB"/>
    <w:rsid w:val="00A04058"/>
    <w:rsid w:val="00A14D7C"/>
    <w:rsid w:val="00A45C9A"/>
    <w:rsid w:val="00A62A9F"/>
    <w:rsid w:val="00AB1AB5"/>
    <w:rsid w:val="00AE624C"/>
    <w:rsid w:val="00B201D2"/>
    <w:rsid w:val="00B25479"/>
    <w:rsid w:val="00B67402"/>
    <w:rsid w:val="00B67A29"/>
    <w:rsid w:val="00B7639A"/>
    <w:rsid w:val="00BC205A"/>
    <w:rsid w:val="00CE39E5"/>
    <w:rsid w:val="00D17C4D"/>
    <w:rsid w:val="00DD5E15"/>
    <w:rsid w:val="00DD6994"/>
    <w:rsid w:val="00E4583B"/>
    <w:rsid w:val="00E93939"/>
    <w:rsid w:val="00E94D83"/>
    <w:rsid w:val="00FC7F31"/>
    <w:rsid w:val="00FF24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CC22"/>
  <w15:chartTrackingRefBased/>
  <w15:docId w15:val="{B0D5DDEE-B90D-4971-9FA2-1544AEDC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818"/>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24C"/>
    <w:pPr>
      <w:ind w:left="720"/>
      <w:contextualSpacing/>
    </w:pPr>
  </w:style>
  <w:style w:type="paragraph" w:styleId="Header">
    <w:name w:val="header"/>
    <w:basedOn w:val="Normal"/>
    <w:link w:val="HeaderChar"/>
    <w:uiPriority w:val="99"/>
    <w:unhideWhenUsed/>
    <w:rsid w:val="00DD5E15"/>
    <w:pPr>
      <w:tabs>
        <w:tab w:val="center" w:pos="4703"/>
        <w:tab w:val="right" w:pos="9406"/>
      </w:tabs>
      <w:spacing w:after="0" w:line="240" w:lineRule="auto"/>
    </w:pPr>
  </w:style>
  <w:style w:type="character" w:customStyle="1" w:styleId="HeaderChar">
    <w:name w:val="Header Char"/>
    <w:basedOn w:val="DefaultParagraphFont"/>
    <w:link w:val="Header"/>
    <w:uiPriority w:val="99"/>
    <w:rsid w:val="00DD5E15"/>
    <w:rPr>
      <w:rFonts w:eastAsiaTheme="minorEastAsia"/>
      <w:lang w:eastAsia="bg-BG"/>
    </w:rPr>
  </w:style>
  <w:style w:type="paragraph" w:styleId="Footer">
    <w:name w:val="footer"/>
    <w:basedOn w:val="Normal"/>
    <w:link w:val="FooterChar"/>
    <w:uiPriority w:val="99"/>
    <w:unhideWhenUsed/>
    <w:rsid w:val="00DD5E15"/>
    <w:pPr>
      <w:tabs>
        <w:tab w:val="center" w:pos="4703"/>
        <w:tab w:val="right" w:pos="9406"/>
      </w:tabs>
      <w:spacing w:after="0" w:line="240" w:lineRule="auto"/>
    </w:pPr>
  </w:style>
  <w:style w:type="character" w:customStyle="1" w:styleId="FooterChar">
    <w:name w:val="Footer Char"/>
    <w:basedOn w:val="DefaultParagraphFont"/>
    <w:link w:val="Footer"/>
    <w:uiPriority w:val="99"/>
    <w:rsid w:val="00DD5E15"/>
    <w:rPr>
      <w:rFonts w:eastAsiaTheme="minorEastAsia"/>
      <w:lang w:eastAsia="bg-BG"/>
    </w:rPr>
  </w:style>
  <w:style w:type="character" w:styleId="Hyperlink">
    <w:name w:val="Hyperlink"/>
    <w:basedOn w:val="DefaultParagraphFont"/>
    <w:uiPriority w:val="99"/>
    <w:unhideWhenUsed/>
    <w:rsid w:val="00A45C9A"/>
    <w:rPr>
      <w:color w:val="0563C1" w:themeColor="hyperlink"/>
      <w:u w:val="single"/>
    </w:rPr>
  </w:style>
  <w:style w:type="character" w:styleId="UnresolvedMention">
    <w:name w:val="Unresolved Mention"/>
    <w:basedOn w:val="DefaultParagraphFont"/>
    <w:uiPriority w:val="99"/>
    <w:semiHidden/>
    <w:unhideWhenUsed/>
    <w:rsid w:val="00A45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fsc.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deshte.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c.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61E2F-CE40-40D6-B3C6-6C3CC4EA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Valsileva</dc:creator>
  <cp:keywords/>
  <dc:description/>
  <cp:lastModifiedBy>Вероника Стоянова</cp:lastModifiedBy>
  <cp:revision>20</cp:revision>
  <cp:lastPrinted>2025-12-17T09:28:00Z</cp:lastPrinted>
  <dcterms:created xsi:type="dcterms:W3CDTF">2022-03-30T13:45:00Z</dcterms:created>
  <dcterms:modified xsi:type="dcterms:W3CDTF">2026-03-17T08:28:00Z</dcterms:modified>
</cp:coreProperties>
</file>