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D4024" w14:textId="54889FAC" w:rsidR="00464A6E" w:rsidRDefault="00552F1F">
      <w:pPr>
        <w:pStyle w:val="LO-Normal"/>
        <w:widowControl w:val="0"/>
        <w:autoSpaceDE w:val="0"/>
        <w:spacing w:after="0" w:line="240" w:lineRule="auto"/>
        <w:jc w:val="center"/>
        <w:rPr>
          <w:rFonts w:ascii="Times New Roman" w:hAnsi="Times New Roman"/>
          <w:b/>
          <w:bCs/>
          <w:sz w:val="24"/>
          <w:szCs w:val="24"/>
        </w:rPr>
      </w:pPr>
      <w:r>
        <w:rPr>
          <w:noProof/>
        </w:rPr>
        <w:drawing>
          <wp:inline distT="0" distB="0" distL="0" distR="0" wp14:anchorId="18627396" wp14:editId="7510CAFE">
            <wp:extent cx="6187789" cy="532020"/>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wmf"/>
                    <pic:cNvPicPr/>
                  </pic:nvPicPr>
                  <pic:blipFill>
                    <a:blip r:embed="rId7">
                      <a:extLst>
                        <a:ext uri="{28A0092B-C50C-407E-A947-70E740481C1C}">
                          <a14:useLocalDpi xmlns:a14="http://schemas.microsoft.com/office/drawing/2010/main" val="0"/>
                        </a:ext>
                      </a:extLst>
                    </a:blip>
                    <a:stretch>
                      <a:fillRect/>
                    </a:stretch>
                  </pic:blipFill>
                  <pic:spPr>
                    <a:xfrm>
                      <a:off x="0" y="0"/>
                      <a:ext cx="6426047" cy="552505"/>
                    </a:xfrm>
                    <a:prstGeom prst="rect">
                      <a:avLst/>
                    </a:prstGeom>
                  </pic:spPr>
                </pic:pic>
              </a:graphicData>
            </a:graphic>
          </wp:inline>
        </w:drawing>
      </w:r>
    </w:p>
    <w:p w14:paraId="7E0CC289" w14:textId="77777777" w:rsidR="00552F1F" w:rsidRDefault="001C0B34">
      <w:pPr>
        <w:pStyle w:val="LO-Normal"/>
        <w:widowControl w:val="0"/>
        <w:autoSpaceDE w:val="0"/>
        <w:spacing w:after="0" w:line="240" w:lineRule="auto"/>
        <w:jc w:val="center"/>
        <w:rPr>
          <w:rFonts w:ascii="Times New Roman" w:hAnsi="Times New Roman"/>
          <w:sz w:val="24"/>
          <w:szCs w:val="24"/>
        </w:rPr>
      </w:pPr>
      <w:r>
        <w:rPr>
          <w:rFonts w:ascii="Times New Roman" w:hAnsi="Times New Roman"/>
          <w:sz w:val="24"/>
          <w:szCs w:val="24"/>
        </w:rPr>
        <w:t xml:space="preserve">                                                  </w:t>
      </w:r>
    </w:p>
    <w:p w14:paraId="4F6271BB" w14:textId="5AA81A7B" w:rsidR="00464A6E" w:rsidRPr="001C0B34" w:rsidRDefault="001C0B34">
      <w:pPr>
        <w:pStyle w:val="LO-Normal"/>
        <w:widowControl w:val="0"/>
        <w:autoSpaceDE w:val="0"/>
        <w:spacing w:after="0" w:line="240" w:lineRule="auto"/>
        <w:jc w:val="center"/>
        <w:rPr>
          <w:rFonts w:ascii="Times New Roman" w:hAnsi="Times New Roman"/>
          <w:sz w:val="24"/>
          <w:szCs w:val="24"/>
        </w:rPr>
      </w:pPr>
      <w:r w:rsidRPr="001C0B34">
        <w:rPr>
          <w:rFonts w:ascii="Times New Roman" w:hAnsi="Times New Roman"/>
          <w:sz w:val="24"/>
          <w:szCs w:val="24"/>
        </w:rPr>
        <w:t xml:space="preserve">Приложение № </w:t>
      </w:r>
      <w:r w:rsidR="004E40D7">
        <w:rPr>
          <w:rFonts w:ascii="Times New Roman" w:hAnsi="Times New Roman"/>
          <w:sz w:val="24"/>
          <w:szCs w:val="24"/>
        </w:rPr>
        <w:t>1</w:t>
      </w:r>
      <w:r w:rsidRPr="001C0B34">
        <w:rPr>
          <w:rFonts w:ascii="Times New Roman" w:hAnsi="Times New Roman"/>
          <w:sz w:val="24"/>
          <w:szCs w:val="24"/>
        </w:rPr>
        <w:t xml:space="preserve"> към чл.5, ал.</w:t>
      </w:r>
      <w:r>
        <w:rPr>
          <w:rFonts w:ascii="Times New Roman" w:hAnsi="Times New Roman"/>
          <w:sz w:val="24"/>
          <w:szCs w:val="24"/>
        </w:rPr>
        <w:t xml:space="preserve"> </w:t>
      </w:r>
      <w:r w:rsidRPr="001C0B34">
        <w:rPr>
          <w:rFonts w:ascii="Times New Roman" w:hAnsi="Times New Roman"/>
          <w:sz w:val="24"/>
          <w:szCs w:val="24"/>
        </w:rPr>
        <w:t>2 от Наредба № 61 на КФН</w:t>
      </w:r>
    </w:p>
    <w:p w14:paraId="0EB1E5CF" w14:textId="77777777" w:rsidR="00464A6E" w:rsidRPr="001C0B34" w:rsidRDefault="00464A6E">
      <w:pPr>
        <w:pStyle w:val="LO-Normal"/>
        <w:widowControl w:val="0"/>
        <w:autoSpaceDE w:val="0"/>
        <w:spacing w:after="0" w:line="240" w:lineRule="auto"/>
        <w:jc w:val="center"/>
        <w:rPr>
          <w:rFonts w:ascii="Times New Roman" w:hAnsi="Times New Roman"/>
          <w:sz w:val="24"/>
          <w:szCs w:val="24"/>
        </w:rPr>
      </w:pPr>
    </w:p>
    <w:p w14:paraId="59C9E5A1" w14:textId="77777777" w:rsidR="00464A6E" w:rsidRDefault="00921D5D">
      <w:pPr>
        <w:pStyle w:val="LO-Normal"/>
        <w:widowControl w:val="0"/>
        <w:autoSpaceDE w:val="0"/>
        <w:spacing w:after="0" w:line="240" w:lineRule="auto"/>
        <w:jc w:val="center"/>
        <w:rPr>
          <w:rFonts w:ascii="Times New Roman" w:hAnsi="Times New Roman"/>
          <w:b/>
          <w:bCs/>
          <w:sz w:val="24"/>
          <w:szCs w:val="24"/>
        </w:rPr>
      </w:pPr>
      <w:r>
        <w:rPr>
          <w:rFonts w:ascii="Times New Roman" w:hAnsi="Times New Roman"/>
          <w:b/>
          <w:bCs/>
          <w:sz w:val="24"/>
          <w:szCs w:val="24"/>
        </w:rPr>
        <w:t>ИНФОРМАЦИЯ ОТНОСНО ОСНОВНИТЕ ХАРАКТЕРИСТИКИ НА ДОБРОВОЛЕН ПЕНСИОНЕН ФОНД И</w:t>
      </w:r>
    </w:p>
    <w:p w14:paraId="317B2A81" w14:textId="77777777" w:rsidR="00464A6E" w:rsidRDefault="00921D5D">
      <w:pPr>
        <w:pStyle w:val="LO-Normal"/>
        <w:widowControl w:val="0"/>
        <w:autoSpaceDE w:val="0"/>
        <w:spacing w:after="0" w:line="240" w:lineRule="auto"/>
        <w:jc w:val="center"/>
        <w:rPr>
          <w:rFonts w:ascii="Times New Roman" w:hAnsi="Times New Roman"/>
          <w:b/>
          <w:bCs/>
          <w:sz w:val="24"/>
          <w:szCs w:val="24"/>
        </w:rPr>
      </w:pPr>
      <w:r>
        <w:rPr>
          <w:rFonts w:ascii="Times New Roman" w:hAnsi="Times New Roman"/>
          <w:b/>
          <w:bCs/>
          <w:sz w:val="24"/>
          <w:szCs w:val="24"/>
        </w:rPr>
        <w:t xml:space="preserve"> УЧАСТИЕТО В НЕГО</w:t>
      </w:r>
    </w:p>
    <w:p w14:paraId="7D8CC550" w14:textId="524190A5" w:rsidR="0002523F" w:rsidRDefault="0002523F">
      <w:pPr>
        <w:pStyle w:val="LO-Normal"/>
        <w:widowControl w:val="0"/>
        <w:autoSpaceDE w:val="0"/>
        <w:spacing w:after="0" w:line="240" w:lineRule="auto"/>
        <w:jc w:val="center"/>
        <w:rPr>
          <w:rFonts w:ascii="Times New Roman" w:hAnsi="Times New Roman"/>
          <w:b/>
          <w:bCs/>
          <w:sz w:val="24"/>
          <w:szCs w:val="24"/>
        </w:rPr>
      </w:pPr>
      <w:r>
        <w:rPr>
          <w:rFonts w:ascii="Times New Roman" w:hAnsi="Times New Roman"/>
          <w:b/>
          <w:bCs/>
          <w:sz w:val="24"/>
          <w:szCs w:val="24"/>
        </w:rPr>
        <w:t>(при осигуряване с лични вноски)</w:t>
      </w:r>
    </w:p>
    <w:tbl>
      <w:tblPr>
        <w:tblW w:w="10079" w:type="dxa"/>
        <w:tblInd w:w="-284" w:type="dxa"/>
        <w:tblCellMar>
          <w:top w:w="15" w:type="dxa"/>
          <w:left w:w="15" w:type="dxa"/>
          <w:bottom w:w="15" w:type="dxa"/>
          <w:right w:w="15" w:type="dxa"/>
        </w:tblCellMar>
        <w:tblLook w:val="0000" w:firstRow="0" w:lastRow="0" w:firstColumn="0" w:lastColumn="0" w:noHBand="0" w:noVBand="0"/>
      </w:tblPr>
      <w:tblGrid>
        <w:gridCol w:w="9782"/>
        <w:gridCol w:w="297"/>
      </w:tblGrid>
      <w:tr w:rsidR="00464A6E" w14:paraId="43CDEFAB" w14:textId="77777777">
        <w:tc>
          <w:tcPr>
            <w:tcW w:w="10079" w:type="dxa"/>
            <w:gridSpan w:val="2"/>
            <w:vAlign w:val="center"/>
          </w:tcPr>
          <w:tbl>
            <w:tblPr>
              <w:tblW w:w="9819" w:type="dxa"/>
              <w:tblCellMar>
                <w:left w:w="0" w:type="dxa"/>
                <w:right w:w="0" w:type="dxa"/>
              </w:tblCellMar>
              <w:tblLook w:val="0000" w:firstRow="0" w:lastRow="0" w:firstColumn="0" w:lastColumn="0" w:noHBand="0" w:noVBand="0"/>
            </w:tblPr>
            <w:tblGrid>
              <w:gridCol w:w="4202"/>
              <w:gridCol w:w="5617"/>
            </w:tblGrid>
            <w:tr w:rsidR="00464A6E" w14:paraId="3CCE41C0" w14:textId="77777777">
              <w:trPr>
                <w:trHeight w:val="726"/>
              </w:trPr>
              <w:tc>
                <w:tcPr>
                  <w:tcW w:w="4202" w:type="dxa"/>
                  <w:vAlign w:val="center"/>
                </w:tcPr>
                <w:p w14:paraId="5D1A689C" w14:textId="7EE189CD" w:rsidR="00464A6E" w:rsidRDefault="00464A6E">
                  <w:pPr>
                    <w:pStyle w:val="LO-Normal"/>
                  </w:pPr>
                </w:p>
                <w:p w14:paraId="592C0907" w14:textId="77777777" w:rsidR="00464A6E" w:rsidRDefault="00464A6E">
                  <w:pPr>
                    <w:pStyle w:val="LO-Normal"/>
                    <w:widowControl w:val="0"/>
                    <w:autoSpaceDE w:val="0"/>
                    <w:spacing w:after="0" w:line="240" w:lineRule="auto"/>
                    <w:ind w:firstLine="480"/>
                    <w:jc w:val="both"/>
                    <w:rPr>
                      <w:rFonts w:ascii="Times New Roman" w:hAnsi="Times New Roman"/>
                      <w:sz w:val="24"/>
                      <w:szCs w:val="24"/>
                    </w:rPr>
                  </w:pPr>
                </w:p>
              </w:tc>
              <w:tc>
                <w:tcPr>
                  <w:tcW w:w="5617" w:type="dxa"/>
                  <w:vAlign w:val="center"/>
                </w:tcPr>
                <w:p w14:paraId="09634204" w14:textId="77777777" w:rsidR="00464A6E" w:rsidRDefault="00921D5D">
                  <w:pPr>
                    <w:pStyle w:val="LO-Normal"/>
                    <w:rPr>
                      <w:rFonts w:ascii="Times New Roman" w:hAnsi="Times New Roman"/>
                      <w:b/>
                      <w:sz w:val="24"/>
                      <w:szCs w:val="24"/>
                    </w:rPr>
                  </w:pPr>
                  <w:r>
                    <w:rPr>
                      <w:rFonts w:ascii="Times New Roman" w:hAnsi="Times New Roman"/>
                      <w:b/>
                      <w:sz w:val="24"/>
                      <w:szCs w:val="24"/>
                    </w:rPr>
                    <w:t xml:space="preserve">“Пенсионноосигурително дружество - Бъдеще” АД </w:t>
                  </w:r>
                </w:p>
                <w:p w14:paraId="3FE83938" w14:textId="77777777" w:rsidR="00464A6E" w:rsidRDefault="00921D5D">
                  <w:pPr>
                    <w:pStyle w:val="LO-Normal"/>
                    <w:widowControl w:val="0"/>
                    <w:autoSpaceDE w:val="0"/>
                    <w:spacing w:after="0" w:line="240" w:lineRule="auto"/>
                    <w:jc w:val="both"/>
                  </w:pPr>
                  <w:r>
                    <w:rPr>
                      <w:rFonts w:ascii="Times New Roman" w:hAnsi="Times New Roman"/>
                      <w:b/>
                      <w:sz w:val="24"/>
                      <w:szCs w:val="24"/>
                    </w:rPr>
                    <w:t>„Доброволен  пенсионен фонд</w:t>
                  </w:r>
                  <w:r w:rsidRPr="00D81D1D">
                    <w:rPr>
                      <w:rFonts w:ascii="Times New Roman" w:hAnsi="Times New Roman"/>
                      <w:b/>
                      <w:sz w:val="24"/>
                      <w:szCs w:val="24"/>
                      <w:lang w:val="ru-RU"/>
                    </w:rPr>
                    <w:t xml:space="preserve"> – </w:t>
                  </w:r>
                  <w:r>
                    <w:rPr>
                      <w:rFonts w:ascii="Times New Roman" w:hAnsi="Times New Roman"/>
                      <w:b/>
                      <w:sz w:val="24"/>
                      <w:szCs w:val="24"/>
                    </w:rPr>
                    <w:t>Бъдеще“</w:t>
                  </w:r>
                </w:p>
                <w:p w14:paraId="4AE7E1CD" w14:textId="77777777" w:rsidR="00464A6E" w:rsidRDefault="00464A6E">
                  <w:pPr>
                    <w:pStyle w:val="LO-Normal"/>
                    <w:widowControl w:val="0"/>
                    <w:autoSpaceDE w:val="0"/>
                    <w:spacing w:after="0" w:line="240" w:lineRule="auto"/>
                    <w:rPr>
                      <w:rFonts w:ascii="Times New Roman" w:hAnsi="Times New Roman"/>
                      <w:sz w:val="24"/>
                      <w:szCs w:val="24"/>
                    </w:rPr>
                  </w:pPr>
                </w:p>
              </w:tc>
            </w:tr>
            <w:tr w:rsidR="00464A6E" w14:paraId="7E269375" w14:textId="77777777">
              <w:trPr>
                <w:trHeight w:val="66"/>
              </w:trPr>
              <w:tc>
                <w:tcPr>
                  <w:tcW w:w="4202" w:type="dxa"/>
                  <w:vAlign w:val="center"/>
                </w:tcPr>
                <w:p w14:paraId="4FBD3924" w14:textId="77777777" w:rsidR="00464A6E" w:rsidRDefault="00464A6E">
                  <w:pPr>
                    <w:pStyle w:val="LO-Normal"/>
                    <w:widowControl w:val="0"/>
                    <w:autoSpaceDE w:val="0"/>
                    <w:spacing w:after="0" w:line="240" w:lineRule="auto"/>
                    <w:ind w:firstLine="480"/>
                    <w:jc w:val="both"/>
                    <w:rPr>
                      <w:rFonts w:ascii="Times New Roman" w:hAnsi="Times New Roman"/>
                      <w:sz w:val="24"/>
                      <w:szCs w:val="24"/>
                    </w:rPr>
                  </w:pPr>
                </w:p>
              </w:tc>
              <w:tc>
                <w:tcPr>
                  <w:tcW w:w="5617" w:type="dxa"/>
                  <w:vAlign w:val="center"/>
                </w:tcPr>
                <w:p w14:paraId="2946047A" w14:textId="77777777" w:rsidR="00464A6E" w:rsidRDefault="00464A6E">
                  <w:pPr>
                    <w:pStyle w:val="LO-Normal"/>
                    <w:widowControl w:val="0"/>
                    <w:autoSpaceDE w:val="0"/>
                    <w:spacing w:after="0" w:line="240" w:lineRule="auto"/>
                    <w:rPr>
                      <w:rFonts w:ascii="Times New Roman" w:hAnsi="Times New Roman"/>
                      <w:i/>
                      <w:iCs/>
                      <w:sz w:val="24"/>
                      <w:szCs w:val="24"/>
                    </w:rPr>
                  </w:pPr>
                </w:p>
              </w:tc>
            </w:tr>
          </w:tbl>
          <w:p w14:paraId="28F3F939" w14:textId="089AFBB8" w:rsidR="00464A6E" w:rsidRDefault="00921D5D">
            <w:pPr>
              <w:pStyle w:val="LO-Normal"/>
              <w:widowControl w:val="0"/>
              <w:autoSpaceDE w:val="0"/>
              <w:spacing w:after="0" w:line="240" w:lineRule="auto"/>
              <w:ind w:left="5664" w:firstLine="480"/>
              <w:jc w:val="both"/>
            </w:pPr>
            <w:r w:rsidRPr="00D81D1D">
              <w:rPr>
                <w:rFonts w:ascii="Times New Roman" w:hAnsi="Times New Roman"/>
                <w:sz w:val="20"/>
                <w:szCs w:val="20"/>
                <w:lang w:val="ru-RU"/>
              </w:rPr>
              <w:t xml:space="preserve">                                                                                                                    </w:t>
            </w:r>
          </w:p>
          <w:p w14:paraId="32ACD427" w14:textId="77777777" w:rsidR="00464A6E" w:rsidRPr="00D81D1D" w:rsidRDefault="00921D5D">
            <w:pPr>
              <w:pStyle w:val="LO-Normal"/>
              <w:widowControl w:val="0"/>
              <w:autoSpaceDE w:val="0"/>
              <w:spacing w:after="0" w:line="240" w:lineRule="auto"/>
              <w:ind w:firstLine="480"/>
              <w:jc w:val="both"/>
              <w:rPr>
                <w:rFonts w:ascii="Times New Roman" w:hAnsi="Times New Roman"/>
                <w:sz w:val="24"/>
                <w:szCs w:val="24"/>
                <w:lang w:val="ru-RU"/>
              </w:rPr>
            </w:pPr>
            <w:r w:rsidRPr="00D81D1D">
              <w:rPr>
                <w:rFonts w:ascii="Times New Roman" w:hAnsi="Times New Roman"/>
                <w:sz w:val="24"/>
                <w:szCs w:val="24"/>
                <w:lang w:val="ru-RU"/>
              </w:rPr>
              <w:t xml:space="preserve">                                           </w:t>
            </w:r>
          </w:p>
          <w:p w14:paraId="2B53AAD8" w14:textId="77777777" w:rsidR="00464A6E" w:rsidRDefault="00464A6E">
            <w:pPr>
              <w:pStyle w:val="LO-Normal"/>
              <w:widowControl w:val="0"/>
              <w:autoSpaceDE w:val="0"/>
              <w:spacing w:after="0" w:line="240" w:lineRule="auto"/>
              <w:ind w:firstLine="480"/>
              <w:jc w:val="both"/>
              <w:rPr>
                <w:rFonts w:ascii="Times New Roman" w:hAnsi="Times New Roman"/>
                <w:b/>
                <w:bCs/>
                <w:sz w:val="24"/>
                <w:szCs w:val="24"/>
              </w:rPr>
            </w:pPr>
          </w:p>
        </w:tc>
      </w:tr>
      <w:tr w:rsidR="00464A6E" w14:paraId="5F228F1A" w14:textId="77777777">
        <w:tc>
          <w:tcPr>
            <w:tcW w:w="9782" w:type="dxa"/>
            <w:vAlign w:val="center"/>
          </w:tcPr>
          <w:tbl>
            <w:tblPr>
              <w:tblW w:w="8060" w:type="dxa"/>
              <w:jc w:val="center"/>
              <w:tblBorders>
                <w:top w:val="single" w:sz="6" w:space="0" w:color="A0A0A0"/>
                <w:left w:val="single" w:sz="6" w:space="0" w:color="A0A0A0"/>
                <w:bottom w:val="single" w:sz="6" w:space="0" w:color="F0F0F0"/>
                <w:right w:val="single" w:sz="6" w:space="0" w:color="F0F0F0"/>
                <w:insideH w:val="single" w:sz="6" w:space="0" w:color="F0F0F0"/>
                <w:insideV w:val="single" w:sz="6" w:space="0" w:color="F0F0F0"/>
              </w:tblBorders>
              <w:tblCellMar>
                <w:left w:w="0" w:type="dxa"/>
                <w:right w:w="0" w:type="dxa"/>
              </w:tblCellMar>
              <w:tblLook w:val="0000" w:firstRow="0" w:lastRow="0" w:firstColumn="0" w:lastColumn="0" w:noHBand="0" w:noVBand="0"/>
            </w:tblPr>
            <w:tblGrid>
              <w:gridCol w:w="698"/>
              <w:gridCol w:w="4222"/>
              <w:gridCol w:w="3140"/>
            </w:tblGrid>
            <w:tr w:rsidR="00464A6E" w14:paraId="43895A5A" w14:textId="77777777" w:rsidTr="002F6E72">
              <w:trPr>
                <w:trHeight w:val="258"/>
                <w:jc w:val="center"/>
              </w:trPr>
              <w:tc>
                <w:tcPr>
                  <w:tcW w:w="8060" w:type="dxa"/>
                  <w:gridSpan w:val="3"/>
                  <w:tcBorders>
                    <w:top w:val="single" w:sz="4" w:space="0" w:color="auto"/>
                    <w:left w:val="single" w:sz="4" w:space="0" w:color="auto"/>
                    <w:bottom w:val="single" w:sz="4" w:space="0" w:color="auto"/>
                    <w:right w:val="single" w:sz="4" w:space="0" w:color="auto"/>
                  </w:tcBorders>
                  <w:vAlign w:val="center"/>
                </w:tcPr>
                <w:p w14:paraId="4E704CBC" w14:textId="77777777" w:rsidR="00464A6E" w:rsidRDefault="00464A6E">
                  <w:pPr>
                    <w:pStyle w:val="LO-Normal"/>
                    <w:widowControl w:val="0"/>
                    <w:autoSpaceDE w:val="0"/>
                    <w:spacing w:after="0" w:line="240" w:lineRule="auto"/>
                    <w:ind w:firstLine="480"/>
                    <w:jc w:val="both"/>
                    <w:rPr>
                      <w:rFonts w:ascii="Times New Roman" w:hAnsi="Times New Roman"/>
                      <w:sz w:val="20"/>
                      <w:szCs w:val="20"/>
                    </w:rPr>
                  </w:pPr>
                </w:p>
                <w:p w14:paraId="453CAB6D" w14:textId="77777777" w:rsidR="00464A6E" w:rsidRDefault="00921D5D">
                  <w:pPr>
                    <w:pStyle w:val="LO-Normal"/>
                    <w:widowControl w:val="0"/>
                    <w:autoSpaceDE w:val="0"/>
                    <w:spacing w:after="0" w:line="240" w:lineRule="auto"/>
                    <w:ind w:firstLine="480"/>
                    <w:jc w:val="both"/>
                  </w:pPr>
                  <w:r>
                    <w:rPr>
                      <w:rFonts w:ascii="Times New Roman" w:hAnsi="Times New Roman"/>
                      <w:sz w:val="20"/>
                      <w:szCs w:val="20"/>
                    </w:rPr>
                    <w:t xml:space="preserve">Акционери, притежаващи 10 и над 10 на сто от капитала на </w:t>
                  </w:r>
                  <w:r w:rsidRPr="00D81D1D">
                    <w:rPr>
                      <w:rFonts w:ascii="Times New Roman" w:hAnsi="Times New Roman"/>
                      <w:sz w:val="20"/>
                      <w:szCs w:val="20"/>
                      <w:lang w:val="ru-RU"/>
                    </w:rPr>
                    <w:t>“</w:t>
                  </w:r>
                  <w:r w:rsidRPr="001C0B34">
                    <w:rPr>
                      <w:rFonts w:ascii="Times New Roman" w:hAnsi="Times New Roman"/>
                      <w:sz w:val="20"/>
                      <w:szCs w:val="20"/>
                    </w:rPr>
                    <w:t>ПОД-БЪДЕЩЕ“ АД</w:t>
                  </w:r>
                </w:p>
              </w:tc>
            </w:tr>
            <w:tr w:rsidR="00464A6E" w14:paraId="0D70E3A6" w14:textId="77777777" w:rsidTr="002F6E72">
              <w:trPr>
                <w:trHeight w:val="248"/>
                <w:jc w:val="center"/>
              </w:trPr>
              <w:tc>
                <w:tcPr>
                  <w:tcW w:w="698" w:type="dxa"/>
                  <w:tcBorders>
                    <w:top w:val="single" w:sz="4" w:space="0" w:color="auto"/>
                    <w:left w:val="single" w:sz="4" w:space="0" w:color="auto"/>
                    <w:bottom w:val="single" w:sz="4" w:space="0" w:color="auto"/>
                    <w:right w:val="single" w:sz="4" w:space="0" w:color="auto"/>
                  </w:tcBorders>
                  <w:vAlign w:val="center"/>
                </w:tcPr>
                <w:p w14:paraId="075BFBCD" w14:textId="77777777" w:rsidR="00464A6E" w:rsidRDefault="00464A6E">
                  <w:pPr>
                    <w:pStyle w:val="LO-Normal"/>
                    <w:widowControl w:val="0"/>
                    <w:autoSpaceDE w:val="0"/>
                    <w:spacing w:after="0" w:line="240" w:lineRule="auto"/>
                    <w:ind w:firstLine="480"/>
                    <w:jc w:val="both"/>
                    <w:rPr>
                      <w:rFonts w:ascii="Times New Roman" w:hAnsi="Times New Roman"/>
                      <w:sz w:val="20"/>
                      <w:szCs w:val="20"/>
                    </w:rPr>
                  </w:pPr>
                </w:p>
                <w:p w14:paraId="6ED7976D" w14:textId="77777777" w:rsidR="00464A6E" w:rsidRDefault="00921D5D">
                  <w:pPr>
                    <w:pStyle w:val="LO-Normal"/>
                    <w:widowControl w:val="0"/>
                    <w:autoSpaceDE w:val="0"/>
                    <w:spacing w:after="0" w:line="240" w:lineRule="auto"/>
                    <w:ind w:firstLine="480"/>
                    <w:jc w:val="both"/>
                    <w:rPr>
                      <w:rFonts w:ascii="Times New Roman" w:hAnsi="Times New Roman"/>
                      <w:sz w:val="20"/>
                      <w:szCs w:val="20"/>
                    </w:rPr>
                  </w:pPr>
                  <w:r>
                    <w:rPr>
                      <w:rFonts w:ascii="Times New Roman" w:hAnsi="Times New Roman"/>
                      <w:sz w:val="20"/>
                      <w:szCs w:val="20"/>
                    </w:rPr>
                    <w:t>№</w:t>
                  </w:r>
                </w:p>
              </w:tc>
              <w:tc>
                <w:tcPr>
                  <w:tcW w:w="4222" w:type="dxa"/>
                  <w:tcBorders>
                    <w:top w:val="single" w:sz="4" w:space="0" w:color="auto"/>
                    <w:left w:val="single" w:sz="4" w:space="0" w:color="auto"/>
                    <w:bottom w:val="single" w:sz="4" w:space="0" w:color="auto"/>
                    <w:right w:val="single" w:sz="4" w:space="0" w:color="auto"/>
                  </w:tcBorders>
                  <w:vAlign w:val="center"/>
                </w:tcPr>
                <w:p w14:paraId="5FD91407" w14:textId="77777777" w:rsidR="00464A6E" w:rsidRDefault="00464A6E">
                  <w:pPr>
                    <w:pStyle w:val="LO-Normal"/>
                    <w:widowControl w:val="0"/>
                    <w:autoSpaceDE w:val="0"/>
                    <w:spacing w:after="0" w:line="240" w:lineRule="auto"/>
                    <w:ind w:firstLine="480"/>
                    <w:jc w:val="both"/>
                    <w:rPr>
                      <w:rFonts w:ascii="Times New Roman" w:hAnsi="Times New Roman"/>
                      <w:sz w:val="20"/>
                      <w:szCs w:val="20"/>
                    </w:rPr>
                  </w:pPr>
                </w:p>
                <w:p w14:paraId="25E22BE2" w14:textId="77777777" w:rsidR="00464A6E" w:rsidRDefault="00921D5D">
                  <w:pPr>
                    <w:pStyle w:val="LO-Normal"/>
                    <w:widowControl w:val="0"/>
                    <w:autoSpaceDE w:val="0"/>
                    <w:spacing w:after="0" w:line="240" w:lineRule="auto"/>
                    <w:ind w:firstLine="480"/>
                    <w:jc w:val="both"/>
                    <w:rPr>
                      <w:rFonts w:ascii="Times New Roman" w:hAnsi="Times New Roman"/>
                      <w:sz w:val="20"/>
                      <w:szCs w:val="20"/>
                    </w:rPr>
                  </w:pPr>
                  <w:r>
                    <w:rPr>
                      <w:rFonts w:ascii="Times New Roman" w:hAnsi="Times New Roman"/>
                      <w:sz w:val="20"/>
                      <w:szCs w:val="20"/>
                    </w:rPr>
                    <w:t>Име, презиме, фамилия за ФЛ/наименование и ЕИК за ЮЛ</w:t>
                  </w:r>
                </w:p>
              </w:tc>
              <w:tc>
                <w:tcPr>
                  <w:tcW w:w="3140" w:type="dxa"/>
                  <w:tcBorders>
                    <w:top w:val="single" w:sz="4" w:space="0" w:color="auto"/>
                    <w:left w:val="single" w:sz="4" w:space="0" w:color="auto"/>
                    <w:bottom w:val="single" w:sz="4" w:space="0" w:color="auto"/>
                    <w:right w:val="single" w:sz="4" w:space="0" w:color="auto"/>
                  </w:tcBorders>
                  <w:vAlign w:val="center"/>
                </w:tcPr>
                <w:p w14:paraId="70BA40AF" w14:textId="77777777" w:rsidR="00464A6E" w:rsidRDefault="00464A6E">
                  <w:pPr>
                    <w:pStyle w:val="LO-Normal"/>
                    <w:widowControl w:val="0"/>
                    <w:autoSpaceDE w:val="0"/>
                    <w:spacing w:after="0" w:line="240" w:lineRule="auto"/>
                    <w:ind w:firstLine="480"/>
                    <w:jc w:val="both"/>
                    <w:rPr>
                      <w:rFonts w:ascii="Times New Roman" w:hAnsi="Times New Roman"/>
                      <w:sz w:val="20"/>
                      <w:szCs w:val="20"/>
                    </w:rPr>
                  </w:pPr>
                </w:p>
                <w:p w14:paraId="345073A2" w14:textId="77777777" w:rsidR="00464A6E" w:rsidRDefault="00921D5D">
                  <w:pPr>
                    <w:pStyle w:val="LO-Normal"/>
                    <w:widowControl w:val="0"/>
                    <w:autoSpaceDE w:val="0"/>
                    <w:spacing w:after="0" w:line="240" w:lineRule="auto"/>
                    <w:jc w:val="center"/>
                    <w:rPr>
                      <w:rFonts w:ascii="Times New Roman" w:hAnsi="Times New Roman"/>
                      <w:sz w:val="20"/>
                      <w:szCs w:val="20"/>
                    </w:rPr>
                  </w:pPr>
                  <w:r>
                    <w:rPr>
                      <w:rFonts w:ascii="Times New Roman" w:hAnsi="Times New Roman"/>
                      <w:sz w:val="20"/>
                      <w:szCs w:val="20"/>
                    </w:rPr>
                    <w:t>Размер на участието в капитала</w:t>
                  </w:r>
                </w:p>
              </w:tc>
            </w:tr>
            <w:tr w:rsidR="00464A6E" w14:paraId="27E45414" w14:textId="77777777" w:rsidTr="002F6E72">
              <w:trPr>
                <w:trHeight w:val="383"/>
                <w:jc w:val="center"/>
              </w:trPr>
              <w:tc>
                <w:tcPr>
                  <w:tcW w:w="698" w:type="dxa"/>
                  <w:tcBorders>
                    <w:top w:val="single" w:sz="4" w:space="0" w:color="auto"/>
                    <w:left w:val="single" w:sz="4" w:space="0" w:color="auto"/>
                    <w:bottom w:val="single" w:sz="4" w:space="0" w:color="auto"/>
                    <w:right w:val="single" w:sz="4" w:space="0" w:color="auto"/>
                  </w:tcBorders>
                  <w:vAlign w:val="center"/>
                </w:tcPr>
                <w:p w14:paraId="3EDA09F5" w14:textId="77777777" w:rsidR="00464A6E" w:rsidRDefault="00464A6E">
                  <w:pPr>
                    <w:pStyle w:val="LO-Normal"/>
                    <w:widowControl w:val="0"/>
                    <w:autoSpaceDE w:val="0"/>
                    <w:spacing w:after="0" w:line="240" w:lineRule="auto"/>
                    <w:ind w:firstLine="480"/>
                    <w:jc w:val="both"/>
                    <w:rPr>
                      <w:rFonts w:ascii="Times New Roman" w:hAnsi="Times New Roman"/>
                      <w:sz w:val="20"/>
                      <w:szCs w:val="20"/>
                    </w:rPr>
                  </w:pPr>
                </w:p>
                <w:p w14:paraId="4DBCCDC0" w14:textId="77777777" w:rsidR="00464A6E" w:rsidRDefault="00921D5D">
                  <w:pPr>
                    <w:pStyle w:val="LO-Normal"/>
                    <w:widowControl w:val="0"/>
                    <w:autoSpaceDE w:val="0"/>
                    <w:spacing w:after="0" w:line="240" w:lineRule="auto"/>
                    <w:ind w:firstLine="480"/>
                    <w:jc w:val="both"/>
                  </w:pPr>
                  <w:r>
                    <w:rPr>
                      <w:rFonts w:ascii="Times New Roman" w:hAnsi="Times New Roman"/>
                      <w:sz w:val="20"/>
                      <w:szCs w:val="20"/>
                    </w:rPr>
                    <w:t>1</w:t>
                  </w:r>
                </w:p>
              </w:tc>
              <w:tc>
                <w:tcPr>
                  <w:tcW w:w="4222" w:type="dxa"/>
                  <w:tcBorders>
                    <w:top w:val="single" w:sz="4" w:space="0" w:color="auto"/>
                    <w:left w:val="single" w:sz="4" w:space="0" w:color="auto"/>
                    <w:bottom w:val="single" w:sz="4" w:space="0" w:color="auto"/>
                    <w:right w:val="single" w:sz="4" w:space="0" w:color="auto"/>
                  </w:tcBorders>
                  <w:vAlign w:val="center"/>
                </w:tcPr>
                <w:p w14:paraId="5F2E1F1B" w14:textId="77777777" w:rsidR="00464A6E" w:rsidRDefault="00464A6E">
                  <w:pPr>
                    <w:pStyle w:val="LO-Normal"/>
                    <w:widowControl w:val="0"/>
                    <w:autoSpaceDE w:val="0"/>
                    <w:spacing w:after="0" w:line="240" w:lineRule="auto"/>
                    <w:ind w:firstLine="480"/>
                    <w:jc w:val="both"/>
                    <w:rPr>
                      <w:rFonts w:ascii="Times New Roman" w:hAnsi="Times New Roman"/>
                      <w:sz w:val="20"/>
                      <w:szCs w:val="20"/>
                    </w:rPr>
                  </w:pPr>
                </w:p>
                <w:p w14:paraId="076C3F48" w14:textId="6F36549D" w:rsidR="00464A6E" w:rsidRDefault="001C0B34">
                  <w:pPr>
                    <w:pStyle w:val="LO-Normal"/>
                    <w:widowControl w:val="0"/>
                    <w:autoSpaceDE w:val="0"/>
                    <w:spacing w:after="0" w:line="240" w:lineRule="auto"/>
                    <w:ind w:firstLine="480"/>
                    <w:jc w:val="both"/>
                    <w:rPr>
                      <w:rFonts w:ascii="Times New Roman" w:hAnsi="Times New Roman"/>
                      <w:sz w:val="20"/>
                      <w:szCs w:val="20"/>
                    </w:rPr>
                  </w:pPr>
                  <w:r w:rsidRPr="001C0B34">
                    <w:rPr>
                      <w:rFonts w:ascii="Times New Roman" w:hAnsi="Times New Roman"/>
                      <w:sz w:val="20"/>
                      <w:szCs w:val="20"/>
                    </w:rPr>
                    <w:t xml:space="preserve">         </w:t>
                  </w:r>
                  <w:proofErr w:type="spellStart"/>
                  <w:r w:rsidRPr="001C0B34">
                    <w:rPr>
                      <w:rFonts w:ascii="Times New Roman" w:hAnsi="Times New Roman"/>
                      <w:sz w:val="20"/>
                      <w:szCs w:val="20"/>
                      <w:lang w:val="en-US"/>
                    </w:rPr>
                    <w:t>Тодор</w:t>
                  </w:r>
                  <w:proofErr w:type="spellEnd"/>
                  <w:r w:rsidRPr="001C0B34">
                    <w:rPr>
                      <w:rFonts w:ascii="Times New Roman" w:hAnsi="Times New Roman"/>
                      <w:sz w:val="20"/>
                      <w:szCs w:val="20"/>
                      <w:lang w:val="en-US"/>
                    </w:rPr>
                    <w:t xml:space="preserve"> </w:t>
                  </w:r>
                  <w:proofErr w:type="spellStart"/>
                  <w:r w:rsidRPr="001C0B34">
                    <w:rPr>
                      <w:rFonts w:ascii="Times New Roman" w:hAnsi="Times New Roman"/>
                      <w:sz w:val="20"/>
                      <w:szCs w:val="20"/>
                      <w:lang w:val="en-US"/>
                    </w:rPr>
                    <w:t>Димитров</w:t>
                  </w:r>
                  <w:proofErr w:type="spellEnd"/>
                  <w:r w:rsidRPr="001C0B34">
                    <w:rPr>
                      <w:rFonts w:ascii="Times New Roman" w:hAnsi="Times New Roman"/>
                      <w:sz w:val="20"/>
                      <w:szCs w:val="20"/>
                      <w:lang w:val="en-US"/>
                    </w:rPr>
                    <w:t xml:space="preserve"> </w:t>
                  </w:r>
                  <w:proofErr w:type="spellStart"/>
                  <w:r w:rsidRPr="001C0B34">
                    <w:rPr>
                      <w:rFonts w:ascii="Times New Roman" w:hAnsi="Times New Roman"/>
                      <w:sz w:val="20"/>
                      <w:szCs w:val="20"/>
                      <w:lang w:val="en-US"/>
                    </w:rPr>
                    <w:t>Табаков</w:t>
                  </w:r>
                  <w:proofErr w:type="spellEnd"/>
                </w:p>
              </w:tc>
              <w:tc>
                <w:tcPr>
                  <w:tcW w:w="3140" w:type="dxa"/>
                  <w:tcBorders>
                    <w:top w:val="single" w:sz="4" w:space="0" w:color="auto"/>
                    <w:left w:val="single" w:sz="4" w:space="0" w:color="auto"/>
                    <w:bottom w:val="single" w:sz="4" w:space="0" w:color="auto"/>
                    <w:right w:val="single" w:sz="4" w:space="0" w:color="auto"/>
                  </w:tcBorders>
                  <w:vAlign w:val="center"/>
                </w:tcPr>
                <w:p w14:paraId="5EC452EB" w14:textId="77777777" w:rsidR="00464A6E" w:rsidRDefault="00464A6E">
                  <w:pPr>
                    <w:pStyle w:val="LO-Normal"/>
                    <w:widowControl w:val="0"/>
                    <w:autoSpaceDE w:val="0"/>
                    <w:spacing w:after="0" w:line="240" w:lineRule="auto"/>
                    <w:ind w:firstLine="480"/>
                    <w:jc w:val="both"/>
                    <w:rPr>
                      <w:rFonts w:ascii="Times New Roman" w:hAnsi="Times New Roman"/>
                      <w:sz w:val="20"/>
                      <w:szCs w:val="20"/>
                    </w:rPr>
                  </w:pPr>
                </w:p>
                <w:p w14:paraId="2CADF031" w14:textId="5DE32D06" w:rsidR="00464A6E" w:rsidRDefault="003A72AA">
                  <w:pPr>
                    <w:pStyle w:val="LO-Normal"/>
                    <w:widowControl w:val="0"/>
                    <w:autoSpaceDE w:val="0"/>
                    <w:spacing w:after="0" w:line="240" w:lineRule="auto"/>
                    <w:jc w:val="center"/>
                  </w:pPr>
                  <w:r>
                    <w:rPr>
                      <w:rFonts w:ascii="Times New Roman" w:hAnsi="Times New Roman"/>
                      <w:sz w:val="20"/>
                      <w:szCs w:val="20"/>
                    </w:rPr>
                    <w:t>82.29</w:t>
                  </w:r>
                  <w:r w:rsidR="00921D5D">
                    <w:rPr>
                      <w:rFonts w:ascii="Times New Roman" w:hAnsi="Times New Roman"/>
                      <w:sz w:val="20"/>
                      <w:szCs w:val="20"/>
                    </w:rPr>
                    <w:t xml:space="preserve"> %</w:t>
                  </w:r>
                </w:p>
              </w:tc>
            </w:tr>
          </w:tbl>
          <w:p w14:paraId="7D7A59A8" w14:textId="77777777" w:rsidR="00464A6E" w:rsidRDefault="00464A6E">
            <w:pPr>
              <w:pStyle w:val="LO-Normal"/>
              <w:widowControl w:val="0"/>
              <w:autoSpaceDE w:val="0"/>
              <w:spacing w:after="0" w:line="240" w:lineRule="auto"/>
              <w:ind w:firstLine="480"/>
              <w:jc w:val="both"/>
              <w:rPr>
                <w:rFonts w:ascii="Times New Roman" w:hAnsi="Times New Roman"/>
                <w:b/>
                <w:bCs/>
                <w:sz w:val="24"/>
                <w:szCs w:val="24"/>
              </w:rPr>
            </w:pPr>
          </w:p>
        </w:tc>
        <w:tc>
          <w:tcPr>
            <w:tcW w:w="297" w:type="dxa"/>
            <w:tcMar>
              <w:top w:w="0" w:type="dxa"/>
              <w:left w:w="10" w:type="dxa"/>
              <w:bottom w:w="0" w:type="dxa"/>
              <w:right w:w="10" w:type="dxa"/>
            </w:tcMar>
          </w:tcPr>
          <w:p w14:paraId="59CE6C6E" w14:textId="77777777" w:rsidR="00464A6E" w:rsidRDefault="00464A6E">
            <w:pPr>
              <w:pStyle w:val="LO-Normal"/>
              <w:widowControl w:val="0"/>
              <w:autoSpaceDE w:val="0"/>
              <w:spacing w:after="0" w:line="240" w:lineRule="auto"/>
              <w:ind w:firstLine="480"/>
              <w:jc w:val="both"/>
              <w:rPr>
                <w:rFonts w:ascii="Times New Roman" w:hAnsi="Times New Roman"/>
                <w:b/>
                <w:bCs/>
                <w:sz w:val="24"/>
                <w:szCs w:val="24"/>
              </w:rPr>
            </w:pPr>
          </w:p>
        </w:tc>
      </w:tr>
    </w:tbl>
    <w:p w14:paraId="4BD8BBCD" w14:textId="77777777" w:rsidR="00464A6E" w:rsidRDefault="00921D5D">
      <w:pPr>
        <w:pStyle w:val="LO-Normal"/>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 xml:space="preserve"> </w:t>
      </w:r>
    </w:p>
    <w:p w14:paraId="54A97BC4" w14:textId="77777777" w:rsidR="00464A6E" w:rsidRDefault="00921D5D">
      <w:pPr>
        <w:pStyle w:val="LO-Normal"/>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 xml:space="preserve"> І. Какво трябва да знаете за допълнителното доброволно пенсионно осигуряване в доброволен пенсионен фонд (ДПФ)</w:t>
      </w:r>
    </w:p>
    <w:p w14:paraId="04FDF54F" w14:textId="77777777" w:rsidR="00464A6E" w:rsidRDefault="00464A6E">
      <w:pPr>
        <w:pStyle w:val="LO-Normal"/>
        <w:widowControl w:val="0"/>
        <w:autoSpaceDE w:val="0"/>
        <w:spacing w:after="0" w:line="240" w:lineRule="auto"/>
        <w:ind w:firstLine="480"/>
        <w:jc w:val="both"/>
        <w:rPr>
          <w:rFonts w:ascii="Times New Roman" w:hAnsi="Times New Roman"/>
          <w:sz w:val="24"/>
          <w:szCs w:val="24"/>
        </w:rPr>
      </w:pPr>
    </w:p>
    <w:p w14:paraId="1DB888C8"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Допълнителното доброволно пенсионно осигуряване в ДПФ е част от Третия стълб на пенсионната система в Република България. То се осъществява от частни пенсионноосигурителни дружества, които учредяват и управляват доброволни пенсионни фондове. Всяко пенсионноосигурително дружество(ПОД) може да управлява само по един ДПФ.</w:t>
      </w:r>
    </w:p>
    <w:p w14:paraId="4B641328"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Нормативната уредба на допълнителното доброволно пенсионно осигуряване се съдържа в част ІІ на Кодекса за социално осигуряване (КСО) и в подзаконовите актове по прилагането му.</w:t>
      </w:r>
    </w:p>
    <w:p w14:paraId="593FCFB4"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Осигуряването в ДПФ не е задължително. Изборът на ДПФ е личен и свободен. В него може да се осигурява или да бъде осигурявано всяко лице, навършило 16 години.</w:t>
      </w:r>
    </w:p>
    <w:p w14:paraId="001014FF"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Осигурителен договор може да се сключи в офис на дружеството, управляващо избрания ДПФ, чрез осигурителен посредник на това дружество или по електронен път с квалифициран електронен подпис. Осигурителният посредник следва да Ви представи документ, който го легитимира за упражняване на дейността по сключване на осигурителни договори от името и за сметка на дружеството. При съмнения дали определено лице действително е посредник на дружеството, може да се направи справка във водения от КФН регистър, достъпен на нейната интернет страница (www.fsc.bg). При подписване на договора ПОД следва да Ви предостави екземпляр от него. Също така имате право да получите копие от основния устройствен акт на ДПФ – правилника за организацията и дейността му, и копие от инвестиционната му политика.</w:t>
      </w:r>
    </w:p>
    <w:p w14:paraId="04021DA2"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Осигурителната вноска може да бъде месечна, за друг период или еднократна.</w:t>
      </w:r>
    </w:p>
    <w:p w14:paraId="60377CA9"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 Осигурителни вноски могат да правят:</w:t>
      </w:r>
    </w:p>
    <w:p w14:paraId="4BB6385A" w14:textId="2B71337B" w:rsidR="00464A6E" w:rsidRDefault="00921D5D" w:rsidP="00A44D01">
      <w:pPr>
        <w:pStyle w:val="LO-Normal"/>
        <w:widowControl w:val="0"/>
        <w:numPr>
          <w:ilvl w:val="0"/>
          <w:numId w:val="6"/>
        </w:numPr>
        <w:autoSpaceDE w:val="0"/>
        <w:spacing w:after="0" w:line="240" w:lineRule="auto"/>
        <w:jc w:val="both"/>
        <w:rPr>
          <w:rFonts w:ascii="Times New Roman" w:hAnsi="Times New Roman"/>
          <w:sz w:val="24"/>
          <w:szCs w:val="24"/>
        </w:rPr>
      </w:pPr>
      <w:r>
        <w:rPr>
          <w:rFonts w:ascii="Times New Roman" w:hAnsi="Times New Roman"/>
          <w:sz w:val="24"/>
          <w:szCs w:val="24"/>
        </w:rPr>
        <w:t>осигуреното лице – за своя сметка;</w:t>
      </w:r>
    </w:p>
    <w:p w14:paraId="289CBDF9" w14:textId="016235D5" w:rsidR="00464A6E" w:rsidRDefault="00921D5D" w:rsidP="00A44D01">
      <w:pPr>
        <w:pStyle w:val="LO-Normal"/>
        <w:widowControl w:val="0"/>
        <w:numPr>
          <w:ilvl w:val="0"/>
          <w:numId w:val="6"/>
        </w:numPr>
        <w:autoSpaceDE w:val="0"/>
        <w:spacing w:after="0" w:line="240" w:lineRule="auto"/>
        <w:jc w:val="both"/>
        <w:rPr>
          <w:rFonts w:ascii="Times New Roman" w:hAnsi="Times New Roman"/>
          <w:sz w:val="24"/>
          <w:szCs w:val="24"/>
        </w:rPr>
      </w:pPr>
      <w:r>
        <w:rPr>
          <w:rFonts w:ascii="Times New Roman" w:hAnsi="Times New Roman"/>
          <w:sz w:val="24"/>
          <w:szCs w:val="24"/>
        </w:rPr>
        <w:t>работодателят на лицето – в полза на осигуреното лице, което трябва да е предоставило писмено съгласие за това;</w:t>
      </w:r>
    </w:p>
    <w:p w14:paraId="2030B4CD" w14:textId="253DA2E3" w:rsidR="00464A6E" w:rsidRDefault="00921D5D" w:rsidP="00A44D01">
      <w:pPr>
        <w:pStyle w:val="LO-Normal"/>
        <w:widowControl w:val="0"/>
        <w:numPr>
          <w:ilvl w:val="0"/>
          <w:numId w:val="6"/>
        </w:numPr>
        <w:autoSpaceDE w:val="0"/>
        <w:spacing w:after="0" w:line="240" w:lineRule="auto"/>
        <w:jc w:val="both"/>
        <w:rPr>
          <w:rFonts w:ascii="Times New Roman" w:hAnsi="Times New Roman"/>
          <w:sz w:val="24"/>
          <w:szCs w:val="24"/>
        </w:rPr>
      </w:pPr>
      <w:r>
        <w:rPr>
          <w:rFonts w:ascii="Times New Roman" w:hAnsi="Times New Roman"/>
          <w:sz w:val="24"/>
          <w:szCs w:val="24"/>
        </w:rPr>
        <w:lastRenderedPageBreak/>
        <w:t>друг осигурител – в полза на осигуреното лице, което трябва да е предоставило писмено съгласие за това.</w:t>
      </w:r>
    </w:p>
    <w:p w14:paraId="0794F0EC"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Осигурителите са длъжни по желание на осигуреното лице да удържат от възнаграждението му за съответния месец осигурителната вноска, която е за негова сметка, и да я превеждат на съответния ДПФ. Внасянето на осигурителни вноски от осигурителите не задължава осигуреното лице да прави вноски за своя  сметка.</w:t>
      </w:r>
    </w:p>
    <w:p w14:paraId="77EB360B"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Тъй като осигуряването в ДПФ е изградено изцяло на доброволен принцип, може внасянето на осигурителни вноски да се прекъсва, като това не води до загуба на пенсионни права или санкции за осигурителя или осигуреното лице. При възможност внасянето на осигурителни вноски може да се поднови.</w:t>
      </w:r>
    </w:p>
    <w:p w14:paraId="15853990"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Осигурителните вноски на всяко лице се натрупват по негова индивидуална партида във фонда, като вноските от осигурителите се водят отделно от личните вноски и от вноските на другия осигурител. Натрупаните средства по индивидуалната партида на осигуреното лице са лични и се наследяват.</w:t>
      </w:r>
    </w:p>
    <w:p w14:paraId="32FDFCA4"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Съвкупността от средствата в партидите формира нетните активи на ДПФ. ПОД</w:t>
      </w:r>
    </w:p>
    <w:p w14:paraId="54D1E350" w14:textId="77777777" w:rsidR="00464A6E" w:rsidRDefault="00921D5D">
      <w:pPr>
        <w:pStyle w:val="LO-Normal"/>
        <w:widowControl w:val="0"/>
        <w:autoSpaceDE w:val="0"/>
        <w:spacing w:after="0" w:line="240" w:lineRule="auto"/>
        <w:jc w:val="both"/>
      </w:pPr>
      <w:r>
        <w:rPr>
          <w:rFonts w:ascii="Times New Roman" w:hAnsi="Times New Roman"/>
          <w:sz w:val="24"/>
          <w:szCs w:val="24"/>
        </w:rPr>
        <w:t>управлява активите на фонда, като ги инвестира в определени и ограничени от закона финансови инструменти, с цел средствата по партидите на осигурените лица да нарастват с дохода, реализиран при инвестирането.</w:t>
      </w:r>
    </w:p>
    <w:p w14:paraId="130A55B2" w14:textId="39E8ED18" w:rsidR="00464A6E" w:rsidRDefault="00921D5D">
      <w:pPr>
        <w:pStyle w:val="LO-Normal"/>
        <w:widowControl w:val="0"/>
        <w:autoSpaceDE w:val="0"/>
        <w:spacing w:after="0" w:line="240" w:lineRule="auto"/>
        <w:ind w:firstLine="480"/>
        <w:jc w:val="both"/>
      </w:pPr>
      <w:r>
        <w:rPr>
          <w:rFonts w:ascii="Times New Roman" w:hAnsi="Times New Roman"/>
          <w:sz w:val="24"/>
          <w:szCs w:val="24"/>
        </w:rPr>
        <w:t xml:space="preserve">Осигуреният в ДПФ има право на лична пенсия за старост, която </w:t>
      </w:r>
      <w:r w:rsidR="00682649">
        <w:rPr>
          <w:rFonts w:ascii="Times New Roman" w:hAnsi="Times New Roman"/>
          <w:sz w:val="24"/>
          <w:szCs w:val="24"/>
        </w:rPr>
        <w:t xml:space="preserve">е </w:t>
      </w:r>
      <w:r>
        <w:rPr>
          <w:rFonts w:ascii="Times New Roman" w:hAnsi="Times New Roman"/>
          <w:sz w:val="24"/>
          <w:szCs w:val="24"/>
        </w:rPr>
        <w:t>срочна, в зависимост от предвиденото в правилника за организацията и дейността на фонда и предпочитанията на лицето. Правото на пенсия възниква при придобиване на право на пенсия за осигурителен стаж и възраст от държавното обществено осигуряване. Пенсия от ДПФ може да бъде получавана и при навършване на възрастта за придобиване право на пенсия за осигурителен стаж и възраст или до 5 години преди навършване на тази възраст.</w:t>
      </w:r>
    </w:p>
    <w:p w14:paraId="0E865B25" w14:textId="21604206" w:rsidR="00464A6E" w:rsidRDefault="00921D5D">
      <w:pPr>
        <w:pStyle w:val="LO-Normal"/>
        <w:widowControl w:val="0"/>
        <w:autoSpaceDE w:val="0"/>
        <w:spacing w:after="0" w:line="240" w:lineRule="auto"/>
        <w:ind w:firstLine="480"/>
        <w:jc w:val="both"/>
      </w:pPr>
      <w:r>
        <w:rPr>
          <w:rFonts w:ascii="Times New Roman" w:hAnsi="Times New Roman"/>
          <w:sz w:val="24"/>
          <w:szCs w:val="24"/>
        </w:rPr>
        <w:t>Размерът на</w:t>
      </w:r>
      <w:r w:rsidR="00682649" w:rsidRPr="00682649">
        <w:rPr>
          <w:rFonts w:ascii="Times New Roman" w:hAnsi="Times New Roman"/>
          <w:sz w:val="24"/>
          <w:szCs w:val="24"/>
        </w:rPr>
        <w:t xml:space="preserve"> срочната пенсия</w:t>
      </w:r>
      <w:r>
        <w:rPr>
          <w:rFonts w:ascii="Times New Roman" w:hAnsi="Times New Roman"/>
          <w:sz w:val="24"/>
          <w:szCs w:val="24"/>
        </w:rPr>
        <w:t>, получавана от ДПФ</w:t>
      </w:r>
      <w:r w:rsidR="00682649">
        <w:rPr>
          <w:rFonts w:ascii="Times New Roman" w:hAnsi="Times New Roman"/>
          <w:sz w:val="24"/>
          <w:szCs w:val="24"/>
        </w:rPr>
        <w:t xml:space="preserve"> се определя </w:t>
      </w:r>
      <w:r>
        <w:rPr>
          <w:rFonts w:ascii="Times New Roman" w:hAnsi="Times New Roman"/>
          <w:sz w:val="24"/>
          <w:szCs w:val="24"/>
        </w:rPr>
        <w:t>от натрупаната сума по индивидуалната партида, срока на получаване и технически лихвен процент. Сумата по индивидуалната партида се формира от направените вноски и дохода от тяхното инвестиране, намалени с таксите и  удръжките, предвидени в КСО и в правилника на фонда.</w:t>
      </w:r>
    </w:p>
    <w:p w14:paraId="536346DF" w14:textId="34E70219" w:rsidR="00464A6E" w:rsidRDefault="00921D5D">
      <w:pPr>
        <w:pStyle w:val="LO-Normal"/>
        <w:widowControl w:val="0"/>
        <w:autoSpaceDE w:val="0"/>
        <w:spacing w:after="0" w:line="240" w:lineRule="auto"/>
        <w:ind w:firstLine="480"/>
        <w:jc w:val="both"/>
      </w:pPr>
      <w:r>
        <w:rPr>
          <w:rFonts w:ascii="Times New Roman" w:hAnsi="Times New Roman"/>
          <w:sz w:val="24"/>
          <w:szCs w:val="24"/>
        </w:rPr>
        <w:t>Осигуряването в ДПФ дава право и на лична пенсия за инвалидност. То възниква от датата на инвалидизирането, посочена в решението на териториалната експертна лекарска комисия (ТЕЛК) или на Националната експертна лекарска комисия (НЕЛК). Личната пенсия за инвалидност срочна в зависимост от решението на ТЕЛК или НЕЛК</w:t>
      </w:r>
      <w:r w:rsidR="00682649">
        <w:rPr>
          <w:rFonts w:ascii="Times New Roman" w:hAnsi="Times New Roman"/>
          <w:sz w:val="24"/>
          <w:szCs w:val="24"/>
        </w:rPr>
        <w:t>, но не повече от 20 г</w:t>
      </w:r>
      <w:r>
        <w:rPr>
          <w:rFonts w:ascii="Times New Roman" w:hAnsi="Times New Roman"/>
          <w:sz w:val="24"/>
          <w:szCs w:val="24"/>
        </w:rPr>
        <w:t>.</w:t>
      </w:r>
    </w:p>
    <w:p w14:paraId="22A2CE34"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Осигуреното в ДПФ лице може във всеки един момент да изтегли натрупаните  средства по индивидуалната си партида от лични вноски. Средствата, натрупани  от вноски за сметка на работодател, могат да бъдат получени при придобиване право на лична пенсия за старост или за инвалидност. Средствата от вноски на друг осигурител могат да бъдат изтеглени преди придобиване на право на пенсия, ако другият осигурител не е ограничил правото за това.</w:t>
      </w:r>
    </w:p>
    <w:p w14:paraId="5ACD57A9"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 xml:space="preserve">Осигуреното лице може да прехвърли натрупаните средства по индивидуалната му партида или част от тях от един в друг ДПФ не повече от веднъж в рамките на една календарна година. В случай на несъгласие с извършени промени в правилника за организацията и дейността на ДПФ или в инвестиционната му политика, които не произтичат от изменение в нормативната уредба, осигуреното лице има право да прехвърли натрупаните средства по индивидуалната си партида в друг ДПФ, ако в тримесечен срок от уведомлението за направените промени подаде заявление за това. Работодателят или другият осигурител може да ограничи правото на прехвърляне в друг ДПФ на средствата, натрупани от вноски  за тяхна сметка. Ограничението за прехвърляне не се прилага при прекратяване на осигурителния договор и при прекратяване на трудовото отношение с работодателя. Също така осигуреното лице има право да прехвърли не повече от веднъж в рамките на една календарна година </w:t>
      </w:r>
      <w:r>
        <w:rPr>
          <w:rFonts w:ascii="Times New Roman" w:hAnsi="Times New Roman"/>
          <w:sz w:val="24"/>
          <w:szCs w:val="24"/>
        </w:rPr>
        <w:lastRenderedPageBreak/>
        <w:t>натрупаните по индивидуалната му партида средства от лични вноски или част от тях по индивидуална партида на съпруг или на роднини по права линия до втора степен.</w:t>
      </w:r>
    </w:p>
    <w:p w14:paraId="12A8E622"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Осигуряването в ДПФ дава право и на наследствена пенсия. Осигуреното лице посочва своите наследници в договора за допълнително доброволно пенсионно осигуряване, в противен случай за такива се приемат законовите наследници.</w:t>
      </w:r>
    </w:p>
    <w:p w14:paraId="749163DD" w14:textId="4A900A83" w:rsidR="00464A6E" w:rsidRDefault="00921D5D">
      <w:pPr>
        <w:pStyle w:val="LO-Normal"/>
        <w:widowControl w:val="0"/>
        <w:autoSpaceDE w:val="0"/>
        <w:spacing w:after="0" w:line="240" w:lineRule="auto"/>
        <w:ind w:firstLine="480"/>
        <w:jc w:val="both"/>
      </w:pPr>
      <w:r>
        <w:rPr>
          <w:rFonts w:ascii="Times New Roman" w:hAnsi="Times New Roman"/>
          <w:sz w:val="24"/>
          <w:szCs w:val="24"/>
        </w:rPr>
        <w:t xml:space="preserve">Осигуреното лице има възможност да промени посочените от него наследници. </w:t>
      </w:r>
    </w:p>
    <w:p w14:paraId="08B11A5D"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Наследниците на починало осигурено лице могат да получат натрупаните по индивидуалната партида средства и под формата на еднократно или разсрочено  изплащане.</w:t>
      </w:r>
    </w:p>
    <w:p w14:paraId="0D4D05AE"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Личните вноски за допълнително доброволно пенсионно осигуряване в размер до 10% от месечната, съответно годишната данъчна основа, не подлежат на данъчно облагане.</w:t>
      </w:r>
    </w:p>
    <w:p w14:paraId="5EDF97E9"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Приходите от инвестиране на активите на ДПФ, разпределени по индивидуалните партиди на осигурените лица, не се облагат с данък по реда на Закона за данъците върху доходите на физическите лица.</w:t>
      </w:r>
    </w:p>
    <w:p w14:paraId="42D3AC39"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Пенсиите, отпускани от ДПФ, не подлежат на данъчно облагане.</w:t>
      </w:r>
    </w:p>
    <w:p w14:paraId="4D82D3BC"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Надзорът върху ПОД се осъществява от Комисията за финансов надзор (КФН) и нейния заместник-председател, ръководещ управление "Осигурителен надзор".</w:t>
      </w:r>
    </w:p>
    <w:p w14:paraId="2F01A2A6" w14:textId="77777777" w:rsidR="00464A6E" w:rsidRDefault="00921D5D">
      <w:pPr>
        <w:pStyle w:val="LO-Normal"/>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ІІ. Основни характеристики на пенсионния фонд</w:t>
      </w:r>
    </w:p>
    <w:p w14:paraId="6CC97B7D" w14:textId="77777777" w:rsidR="00464A6E" w:rsidRDefault="00464A6E">
      <w:pPr>
        <w:pStyle w:val="LO-Normal"/>
        <w:widowControl w:val="0"/>
        <w:autoSpaceDE w:val="0"/>
        <w:spacing w:after="0" w:line="240" w:lineRule="auto"/>
        <w:ind w:firstLine="480"/>
        <w:jc w:val="both"/>
        <w:rPr>
          <w:rFonts w:ascii="Times New Roman" w:hAnsi="Times New Roman"/>
          <w:sz w:val="24"/>
          <w:szCs w:val="24"/>
        </w:rPr>
      </w:pPr>
    </w:p>
    <w:p w14:paraId="08936BAA" w14:textId="77777777" w:rsidR="00464A6E" w:rsidRPr="000169EA" w:rsidRDefault="00921D5D">
      <w:pPr>
        <w:pStyle w:val="LO-Normal"/>
        <w:widowControl w:val="0"/>
        <w:autoSpaceDE w:val="0"/>
        <w:spacing w:after="0" w:line="240" w:lineRule="auto"/>
        <w:ind w:firstLine="480"/>
        <w:jc w:val="both"/>
        <w:rPr>
          <w:rFonts w:ascii="Times New Roman" w:hAnsi="Times New Roman"/>
          <w:b/>
          <w:bCs/>
          <w:sz w:val="24"/>
          <w:szCs w:val="24"/>
        </w:rPr>
      </w:pPr>
      <w:r w:rsidRPr="000169EA">
        <w:rPr>
          <w:rFonts w:ascii="Times New Roman" w:hAnsi="Times New Roman"/>
          <w:b/>
          <w:bCs/>
          <w:sz w:val="24"/>
          <w:szCs w:val="24"/>
        </w:rPr>
        <w:t>1. Осигурителни плащания</w:t>
      </w:r>
    </w:p>
    <w:p w14:paraId="1A9618F9" w14:textId="77777777" w:rsidR="00464A6E" w:rsidRPr="005F2F78" w:rsidRDefault="00921D5D">
      <w:pPr>
        <w:pStyle w:val="LO-Normal"/>
        <w:widowControl w:val="0"/>
        <w:autoSpaceDE w:val="0"/>
        <w:spacing w:after="0" w:line="240" w:lineRule="auto"/>
        <w:ind w:firstLine="480"/>
        <w:jc w:val="both"/>
      </w:pPr>
      <w:r>
        <w:rPr>
          <w:rFonts w:ascii="Times New Roman" w:hAnsi="Times New Roman"/>
          <w:sz w:val="24"/>
          <w:szCs w:val="24"/>
        </w:rPr>
        <w:t xml:space="preserve">При осигуряване в „ДПФ – БЪДЕЩЕ“ Вие имате право на следните осигурителни </w:t>
      </w:r>
      <w:r w:rsidRPr="005F2F78">
        <w:rPr>
          <w:rFonts w:ascii="Times New Roman" w:hAnsi="Times New Roman"/>
          <w:sz w:val="24"/>
          <w:szCs w:val="24"/>
        </w:rPr>
        <w:t>плащания:</w:t>
      </w:r>
    </w:p>
    <w:p w14:paraId="0432C566" w14:textId="48F0AD92" w:rsidR="00464A6E" w:rsidRPr="005F2F78" w:rsidRDefault="00921D5D" w:rsidP="000169EA">
      <w:pPr>
        <w:pStyle w:val="LO-Normal"/>
        <w:widowControl w:val="0"/>
        <w:numPr>
          <w:ilvl w:val="0"/>
          <w:numId w:val="4"/>
        </w:numPr>
        <w:autoSpaceDE w:val="0"/>
        <w:spacing w:after="0" w:line="240" w:lineRule="auto"/>
        <w:jc w:val="both"/>
        <w:rPr>
          <w:rFonts w:ascii="Times New Roman" w:hAnsi="Times New Roman"/>
          <w:sz w:val="24"/>
          <w:szCs w:val="24"/>
        </w:rPr>
      </w:pPr>
      <w:r w:rsidRPr="005F2F78">
        <w:rPr>
          <w:rFonts w:ascii="Times New Roman" w:hAnsi="Times New Roman"/>
          <w:sz w:val="24"/>
          <w:szCs w:val="24"/>
        </w:rPr>
        <w:t>лична срочна пенсия за старост;</w:t>
      </w:r>
    </w:p>
    <w:p w14:paraId="600F7469" w14:textId="29D1C6CD" w:rsidR="00464A6E" w:rsidRPr="005F2F78" w:rsidRDefault="00921D5D" w:rsidP="000169EA">
      <w:pPr>
        <w:pStyle w:val="LO-Normal"/>
        <w:widowControl w:val="0"/>
        <w:numPr>
          <w:ilvl w:val="0"/>
          <w:numId w:val="4"/>
        </w:numPr>
        <w:autoSpaceDE w:val="0"/>
        <w:spacing w:after="0" w:line="240" w:lineRule="auto"/>
        <w:jc w:val="both"/>
        <w:rPr>
          <w:rFonts w:ascii="Times New Roman" w:hAnsi="Times New Roman"/>
          <w:sz w:val="24"/>
          <w:szCs w:val="24"/>
        </w:rPr>
      </w:pPr>
      <w:r w:rsidRPr="005F2F78">
        <w:rPr>
          <w:rFonts w:ascii="Times New Roman" w:hAnsi="Times New Roman"/>
          <w:sz w:val="24"/>
          <w:szCs w:val="24"/>
        </w:rPr>
        <w:t>лична срочна пенсия за инвалидност;</w:t>
      </w:r>
    </w:p>
    <w:p w14:paraId="155E945E" w14:textId="19C46CE0" w:rsidR="00464A6E" w:rsidRPr="005F2F78" w:rsidRDefault="00921D5D" w:rsidP="000169EA">
      <w:pPr>
        <w:pStyle w:val="LO-Normal"/>
        <w:widowControl w:val="0"/>
        <w:numPr>
          <w:ilvl w:val="0"/>
          <w:numId w:val="4"/>
        </w:numPr>
        <w:autoSpaceDE w:val="0"/>
        <w:spacing w:after="0" w:line="240" w:lineRule="auto"/>
        <w:jc w:val="both"/>
        <w:rPr>
          <w:rFonts w:ascii="Times New Roman" w:hAnsi="Times New Roman"/>
          <w:sz w:val="24"/>
          <w:szCs w:val="24"/>
        </w:rPr>
      </w:pPr>
      <w:r w:rsidRPr="005F2F78">
        <w:rPr>
          <w:rFonts w:ascii="Times New Roman" w:hAnsi="Times New Roman"/>
          <w:sz w:val="24"/>
          <w:szCs w:val="24"/>
        </w:rPr>
        <w:t>еднократно или разсрочено изплащане на натрупаните средства по</w:t>
      </w:r>
      <w:r w:rsidR="000169EA" w:rsidRPr="005F2F78">
        <w:rPr>
          <w:rFonts w:ascii="Times New Roman" w:hAnsi="Times New Roman"/>
          <w:sz w:val="24"/>
          <w:szCs w:val="24"/>
        </w:rPr>
        <w:t xml:space="preserve"> </w:t>
      </w:r>
      <w:r w:rsidRPr="005F2F78">
        <w:rPr>
          <w:rFonts w:ascii="Times New Roman" w:hAnsi="Times New Roman"/>
          <w:sz w:val="24"/>
          <w:szCs w:val="24"/>
        </w:rPr>
        <w:t>индивидуалната партида;</w:t>
      </w:r>
    </w:p>
    <w:p w14:paraId="570C5078" w14:textId="77777777" w:rsidR="000169EA" w:rsidRPr="005F2F78" w:rsidRDefault="00921D5D" w:rsidP="000169EA">
      <w:pPr>
        <w:pStyle w:val="LO-Normal"/>
        <w:widowControl w:val="0"/>
        <w:numPr>
          <w:ilvl w:val="0"/>
          <w:numId w:val="4"/>
        </w:numPr>
        <w:autoSpaceDE w:val="0"/>
        <w:spacing w:after="0" w:line="240" w:lineRule="auto"/>
        <w:jc w:val="both"/>
      </w:pPr>
      <w:r w:rsidRPr="005F2F78">
        <w:rPr>
          <w:rFonts w:ascii="Times New Roman" w:hAnsi="Times New Roman"/>
          <w:sz w:val="24"/>
          <w:szCs w:val="24"/>
        </w:rPr>
        <w:t>наследствена</w:t>
      </w:r>
      <w:r w:rsidR="000169EA" w:rsidRPr="005F2F78">
        <w:rPr>
          <w:rFonts w:ascii="Times New Roman" w:hAnsi="Times New Roman"/>
          <w:sz w:val="24"/>
          <w:szCs w:val="24"/>
        </w:rPr>
        <w:t xml:space="preserve"> срочна</w:t>
      </w:r>
      <w:r w:rsidRPr="005F2F78">
        <w:rPr>
          <w:rFonts w:ascii="Times New Roman" w:hAnsi="Times New Roman"/>
          <w:sz w:val="24"/>
          <w:szCs w:val="24"/>
        </w:rPr>
        <w:t xml:space="preserve"> пенсия  – при смърт на осигуреното лице или на лице, което получава пенсия;</w:t>
      </w:r>
    </w:p>
    <w:p w14:paraId="7347AFC9" w14:textId="5B7C9FD3" w:rsidR="00464A6E" w:rsidRPr="000169EA" w:rsidRDefault="00921D5D" w:rsidP="000169EA">
      <w:pPr>
        <w:pStyle w:val="LO-Normal"/>
        <w:widowControl w:val="0"/>
        <w:numPr>
          <w:ilvl w:val="0"/>
          <w:numId w:val="4"/>
        </w:numPr>
        <w:autoSpaceDE w:val="0"/>
        <w:spacing w:after="0" w:line="240" w:lineRule="auto"/>
        <w:jc w:val="both"/>
      </w:pPr>
      <w:r w:rsidRPr="000169EA">
        <w:rPr>
          <w:rFonts w:ascii="Times New Roman" w:hAnsi="Times New Roman"/>
          <w:sz w:val="24"/>
          <w:szCs w:val="24"/>
        </w:rPr>
        <w:t xml:space="preserve"> еднократно или разсрочено изплащане на средства на наследниците на починало осигурено лице или на пенсионер.</w:t>
      </w:r>
    </w:p>
    <w:p w14:paraId="2C611A31" w14:textId="77777777" w:rsidR="000169EA" w:rsidRPr="000169EA" w:rsidRDefault="000169EA" w:rsidP="000169EA">
      <w:pPr>
        <w:pStyle w:val="LO-Normal"/>
        <w:widowControl w:val="0"/>
        <w:autoSpaceDE w:val="0"/>
        <w:spacing w:after="0" w:line="240" w:lineRule="auto"/>
        <w:ind w:left="1200"/>
        <w:jc w:val="both"/>
      </w:pPr>
    </w:p>
    <w:p w14:paraId="202FB6CB" w14:textId="77777777" w:rsidR="00464A6E" w:rsidRPr="000169EA" w:rsidRDefault="00921D5D">
      <w:pPr>
        <w:pStyle w:val="LO-Normal"/>
        <w:widowControl w:val="0"/>
        <w:autoSpaceDE w:val="0"/>
        <w:spacing w:after="0" w:line="240" w:lineRule="auto"/>
        <w:ind w:firstLine="480"/>
        <w:jc w:val="both"/>
        <w:rPr>
          <w:rFonts w:ascii="Times New Roman" w:hAnsi="Times New Roman"/>
          <w:b/>
          <w:bCs/>
          <w:sz w:val="24"/>
          <w:szCs w:val="24"/>
        </w:rPr>
      </w:pPr>
      <w:r w:rsidRPr="000169EA">
        <w:rPr>
          <w:rFonts w:ascii="Times New Roman" w:hAnsi="Times New Roman"/>
          <w:b/>
          <w:bCs/>
          <w:sz w:val="24"/>
          <w:szCs w:val="24"/>
        </w:rPr>
        <w:t>2. Основни данни за инвестициите на пенсионния фонд</w:t>
      </w:r>
    </w:p>
    <w:p w14:paraId="61845E7D" w14:textId="77777777" w:rsidR="00464A6E" w:rsidRDefault="00921D5D">
      <w:pPr>
        <w:pStyle w:val="LO-Normal"/>
        <w:widowControl w:val="0"/>
        <w:autoSpaceDE w:val="0"/>
        <w:spacing w:after="0" w:line="240" w:lineRule="auto"/>
        <w:ind w:firstLine="480"/>
        <w:jc w:val="both"/>
        <w:rPr>
          <w:rFonts w:ascii="Times New Roman" w:hAnsi="Times New Roman"/>
          <w:b/>
          <w:bCs/>
          <w:sz w:val="24"/>
          <w:szCs w:val="24"/>
        </w:rPr>
      </w:pPr>
      <w:r w:rsidRPr="000169EA">
        <w:rPr>
          <w:rFonts w:ascii="Times New Roman" w:hAnsi="Times New Roman"/>
          <w:b/>
          <w:bCs/>
          <w:sz w:val="24"/>
          <w:szCs w:val="24"/>
        </w:rPr>
        <w:t>2.1. Инвестиционни цели на фонда:</w:t>
      </w:r>
    </w:p>
    <w:p w14:paraId="5BEC21E2" w14:textId="77777777" w:rsidR="000169EA" w:rsidRPr="000169EA" w:rsidRDefault="000169EA">
      <w:pPr>
        <w:pStyle w:val="LO-Normal"/>
        <w:widowControl w:val="0"/>
        <w:autoSpaceDE w:val="0"/>
        <w:spacing w:after="0" w:line="240" w:lineRule="auto"/>
        <w:ind w:firstLine="480"/>
        <w:jc w:val="both"/>
        <w:rPr>
          <w:b/>
          <w:bCs/>
        </w:rPr>
      </w:pPr>
    </w:p>
    <w:p w14:paraId="2E29CBF6" w14:textId="77777777" w:rsidR="00464A6E" w:rsidRDefault="00921D5D" w:rsidP="00552F1F">
      <w:pPr>
        <w:pStyle w:val="LO-Normal"/>
        <w:widowControl w:val="0"/>
        <w:autoSpaceDE w:val="0"/>
        <w:spacing w:after="0" w:line="240" w:lineRule="auto"/>
        <w:ind w:firstLine="426"/>
        <w:jc w:val="both"/>
        <w:rPr>
          <w:rFonts w:ascii="Times New Roman" w:hAnsi="Times New Roman"/>
          <w:sz w:val="24"/>
          <w:szCs w:val="24"/>
        </w:rPr>
      </w:pPr>
      <w:r>
        <w:rPr>
          <w:rFonts w:ascii="Times New Roman" w:hAnsi="Times New Roman"/>
          <w:sz w:val="24"/>
          <w:szCs w:val="24"/>
        </w:rPr>
        <w:t>1. Формиране на оптимално структуриран инвестиционен портфейл – балансирана структура с преобладаващо участие на дългови инструменти и ценни книжа, търгувани на регулирани пазари.</w:t>
      </w:r>
    </w:p>
    <w:p w14:paraId="14825B16" w14:textId="57D0138D" w:rsidR="00464A6E" w:rsidRDefault="00552F1F" w:rsidP="00552F1F">
      <w:pPr>
        <w:pStyle w:val="LO-Normal"/>
        <w:widowControl w:val="0"/>
        <w:shd w:val="clear" w:color="auto" w:fill="FFFFFF"/>
        <w:tabs>
          <w:tab w:val="left" w:pos="226"/>
        </w:tabs>
        <w:autoSpaceDE w:val="0"/>
        <w:spacing w:after="0" w:line="240" w:lineRule="auto"/>
        <w:ind w:left="202" w:firstLine="224"/>
        <w:rPr>
          <w:rFonts w:ascii="Times New Roman" w:hAnsi="Times New Roman"/>
          <w:sz w:val="24"/>
          <w:szCs w:val="24"/>
        </w:rPr>
      </w:pPr>
      <w:r>
        <w:rPr>
          <w:rFonts w:ascii="Times New Roman" w:hAnsi="Times New Roman"/>
          <w:sz w:val="24"/>
          <w:szCs w:val="24"/>
        </w:rPr>
        <w:t xml:space="preserve">2. </w:t>
      </w:r>
      <w:r w:rsidR="00921D5D">
        <w:rPr>
          <w:rFonts w:ascii="Times New Roman" w:hAnsi="Times New Roman"/>
          <w:sz w:val="24"/>
          <w:szCs w:val="24"/>
        </w:rPr>
        <w:t>Активно управление на портфейла;</w:t>
      </w:r>
    </w:p>
    <w:p w14:paraId="67ED0FBD" w14:textId="1B943750" w:rsidR="00464A6E" w:rsidRDefault="00552F1F" w:rsidP="00552F1F">
      <w:pPr>
        <w:pStyle w:val="LO-Normal"/>
        <w:widowControl w:val="0"/>
        <w:shd w:val="clear" w:color="auto" w:fill="FFFFFF"/>
        <w:autoSpaceDE w:val="0"/>
        <w:spacing w:after="0" w:line="240" w:lineRule="auto"/>
        <w:ind w:firstLine="426"/>
        <w:rPr>
          <w:rFonts w:ascii="Times New Roman" w:hAnsi="Times New Roman"/>
          <w:sz w:val="24"/>
          <w:szCs w:val="24"/>
        </w:rPr>
      </w:pPr>
      <w:r>
        <w:rPr>
          <w:rFonts w:ascii="Times New Roman" w:hAnsi="Times New Roman"/>
          <w:sz w:val="24"/>
          <w:szCs w:val="24"/>
        </w:rPr>
        <w:t xml:space="preserve">3. </w:t>
      </w:r>
      <w:r w:rsidR="00921D5D">
        <w:rPr>
          <w:rFonts w:ascii="Times New Roman" w:hAnsi="Times New Roman"/>
          <w:sz w:val="24"/>
          <w:szCs w:val="24"/>
        </w:rPr>
        <w:t>Постигане на реален растеж на стойността на активите и максимизиране на тяхната възвращаемост;</w:t>
      </w:r>
    </w:p>
    <w:p w14:paraId="0C81C112" w14:textId="116EA4E1" w:rsidR="00464A6E" w:rsidRDefault="00552F1F" w:rsidP="00552F1F">
      <w:pPr>
        <w:pStyle w:val="LO-Normal"/>
        <w:widowControl w:val="0"/>
        <w:shd w:val="clear" w:color="auto" w:fill="FFFFFF"/>
        <w:tabs>
          <w:tab w:val="left" w:pos="226"/>
        </w:tabs>
        <w:autoSpaceDE w:val="0"/>
        <w:spacing w:after="0" w:line="240" w:lineRule="auto"/>
        <w:ind w:right="1258" w:firstLine="426"/>
        <w:jc w:val="both"/>
        <w:rPr>
          <w:rFonts w:ascii="Times New Roman" w:hAnsi="Times New Roman"/>
          <w:sz w:val="24"/>
          <w:szCs w:val="24"/>
        </w:rPr>
      </w:pPr>
      <w:r>
        <w:rPr>
          <w:rFonts w:ascii="Times New Roman" w:hAnsi="Times New Roman"/>
          <w:sz w:val="24"/>
          <w:szCs w:val="24"/>
        </w:rPr>
        <w:t xml:space="preserve">4. </w:t>
      </w:r>
      <w:r w:rsidR="00921D5D">
        <w:rPr>
          <w:rFonts w:ascii="Times New Roman" w:hAnsi="Times New Roman"/>
          <w:sz w:val="24"/>
          <w:szCs w:val="24"/>
        </w:rPr>
        <w:t>Получаване на доходност, по-висока от средната доходност, постигната от доброволните пенсионни фондове (индекс VOLIDEX);</w:t>
      </w:r>
    </w:p>
    <w:p w14:paraId="68D8893B" w14:textId="64FFB56E" w:rsidR="00464A6E" w:rsidRDefault="00552F1F" w:rsidP="00552F1F">
      <w:pPr>
        <w:pStyle w:val="LO-Normal"/>
        <w:widowControl w:val="0"/>
        <w:shd w:val="clear" w:color="auto" w:fill="FFFFFF"/>
        <w:tabs>
          <w:tab w:val="left" w:pos="226"/>
        </w:tabs>
        <w:autoSpaceDE w:val="0"/>
        <w:spacing w:after="0" w:line="240" w:lineRule="auto"/>
        <w:ind w:right="83" w:firstLine="426"/>
        <w:jc w:val="both"/>
        <w:rPr>
          <w:rFonts w:ascii="Times New Roman" w:hAnsi="Times New Roman"/>
          <w:sz w:val="24"/>
          <w:szCs w:val="24"/>
        </w:rPr>
      </w:pPr>
      <w:r>
        <w:rPr>
          <w:rFonts w:ascii="Times New Roman" w:hAnsi="Times New Roman"/>
          <w:sz w:val="24"/>
          <w:szCs w:val="24"/>
        </w:rPr>
        <w:t xml:space="preserve">5. </w:t>
      </w:r>
      <w:r w:rsidR="00921D5D">
        <w:rPr>
          <w:rFonts w:ascii="Times New Roman" w:hAnsi="Times New Roman"/>
          <w:sz w:val="24"/>
          <w:szCs w:val="24"/>
        </w:rPr>
        <w:t>Минимизиране на рисковете, свързани с управление на инвестиционния портфейл – ликвиден риск, валутен риск, кредитен риск, риск, свързан с инвестиции в акции и риск, свързан с инвестициите в недвижими имоти чрез използването на широк набор от инвестиционни инструменти и техники, съгласно Наредба 34 на КФН от 04.10.2006 г. СД утвърждава Вътрешни правила за процедурите за наблюдение, измерване и управление на риска, свързан с инвестициите на ФОНДА и ги представя на Зам. – председателя на КФН в 7-дневен срок от тяхното утвърждаване, изменение и допълнение.</w:t>
      </w:r>
    </w:p>
    <w:p w14:paraId="56159764" w14:textId="1D4852B3" w:rsidR="00464A6E" w:rsidRDefault="00921D5D" w:rsidP="00552F1F">
      <w:pPr>
        <w:pStyle w:val="LO-Normal"/>
        <w:widowControl w:val="0"/>
        <w:shd w:val="clear" w:color="auto" w:fill="FFFFFF"/>
        <w:tabs>
          <w:tab w:val="left" w:pos="9214"/>
        </w:tabs>
        <w:autoSpaceDE w:val="0"/>
        <w:spacing w:after="0" w:line="240" w:lineRule="auto"/>
        <w:ind w:right="83" w:firstLine="426"/>
        <w:jc w:val="both"/>
        <w:rPr>
          <w:rFonts w:ascii="Times New Roman" w:hAnsi="Times New Roman"/>
          <w:sz w:val="24"/>
          <w:szCs w:val="24"/>
        </w:rPr>
      </w:pPr>
      <w:r>
        <w:rPr>
          <w:rFonts w:ascii="Times New Roman" w:hAnsi="Times New Roman"/>
          <w:sz w:val="24"/>
          <w:szCs w:val="24"/>
        </w:rPr>
        <w:t>6</w:t>
      </w:r>
      <w:r w:rsidR="00682649">
        <w:rPr>
          <w:rFonts w:ascii="Times New Roman" w:hAnsi="Times New Roman"/>
          <w:sz w:val="24"/>
          <w:szCs w:val="24"/>
        </w:rPr>
        <w:t>.</w:t>
      </w:r>
      <w:r>
        <w:rPr>
          <w:rFonts w:ascii="Times New Roman" w:hAnsi="Times New Roman"/>
          <w:sz w:val="24"/>
          <w:szCs w:val="24"/>
        </w:rPr>
        <w:t xml:space="preserve"> Поддържане на текуща ликвидност – чрез инвестиции в краткосрочни финансови инструменти и банкови депозити, съобразени със срочността на </w:t>
      </w:r>
      <w:r>
        <w:rPr>
          <w:rFonts w:ascii="Times New Roman" w:hAnsi="Times New Roman"/>
          <w:sz w:val="24"/>
          <w:szCs w:val="24"/>
        </w:rPr>
        <w:lastRenderedPageBreak/>
        <w:t>задълженията на ФОНДА.</w:t>
      </w:r>
    </w:p>
    <w:p w14:paraId="155DB3F1" w14:textId="03732AE2" w:rsidR="00464A6E" w:rsidRDefault="00552F1F" w:rsidP="00552F1F">
      <w:pPr>
        <w:pStyle w:val="LO-Normal"/>
        <w:widowControl w:val="0"/>
        <w:shd w:val="clear" w:color="auto" w:fill="FFFFFF"/>
        <w:tabs>
          <w:tab w:val="left" w:pos="283"/>
        </w:tabs>
        <w:autoSpaceDE w:val="0"/>
        <w:spacing w:after="0" w:line="240" w:lineRule="auto"/>
        <w:ind w:right="141" w:firstLine="426"/>
        <w:jc w:val="both"/>
        <w:rPr>
          <w:rFonts w:ascii="Times New Roman" w:hAnsi="Times New Roman"/>
          <w:sz w:val="24"/>
          <w:szCs w:val="24"/>
        </w:rPr>
      </w:pPr>
      <w:r>
        <w:rPr>
          <w:rFonts w:ascii="Times New Roman" w:hAnsi="Times New Roman"/>
          <w:sz w:val="24"/>
          <w:szCs w:val="24"/>
        </w:rPr>
        <w:t xml:space="preserve">7. </w:t>
      </w:r>
      <w:r w:rsidR="00921D5D">
        <w:rPr>
          <w:rFonts w:ascii="Times New Roman" w:hAnsi="Times New Roman"/>
          <w:sz w:val="24"/>
          <w:szCs w:val="24"/>
        </w:rPr>
        <w:t>Осъществяване на текущ контрол на постъпилите средства във ФОНДА</w:t>
      </w:r>
      <w:r w:rsidR="000169EA">
        <w:rPr>
          <w:rFonts w:ascii="Times New Roman" w:hAnsi="Times New Roman"/>
          <w:sz w:val="24"/>
          <w:szCs w:val="24"/>
        </w:rPr>
        <w:t xml:space="preserve"> </w:t>
      </w:r>
      <w:r w:rsidR="00921D5D">
        <w:rPr>
          <w:rFonts w:ascii="Times New Roman" w:hAnsi="Times New Roman"/>
          <w:sz w:val="24"/>
          <w:szCs w:val="24"/>
        </w:rPr>
        <w:t>и навременното им инвестиране във финансови инструменти.</w:t>
      </w:r>
    </w:p>
    <w:p w14:paraId="46CCEB82" w14:textId="5FEF9DA1" w:rsidR="00464A6E" w:rsidRDefault="00552F1F" w:rsidP="00552F1F">
      <w:pPr>
        <w:pStyle w:val="LO-Normal"/>
        <w:widowControl w:val="0"/>
        <w:shd w:val="clear" w:color="auto" w:fill="FFFFFF"/>
        <w:tabs>
          <w:tab w:val="left" w:pos="283"/>
        </w:tabs>
        <w:autoSpaceDE w:val="0"/>
        <w:spacing w:after="0" w:line="240" w:lineRule="auto"/>
        <w:ind w:right="141" w:firstLine="426"/>
        <w:jc w:val="both"/>
        <w:rPr>
          <w:rFonts w:ascii="Times New Roman" w:hAnsi="Times New Roman"/>
          <w:sz w:val="24"/>
          <w:szCs w:val="24"/>
        </w:rPr>
      </w:pPr>
      <w:r>
        <w:rPr>
          <w:rFonts w:ascii="Times New Roman" w:hAnsi="Times New Roman"/>
          <w:sz w:val="24"/>
          <w:szCs w:val="24"/>
        </w:rPr>
        <w:t xml:space="preserve">8. </w:t>
      </w:r>
      <w:r w:rsidR="00921D5D">
        <w:rPr>
          <w:rFonts w:ascii="Times New Roman" w:hAnsi="Times New Roman"/>
          <w:sz w:val="24"/>
          <w:szCs w:val="24"/>
        </w:rPr>
        <w:t>Спазване на принципа на строгост относно съществуващите нормативни изисквания за лимити, ограничения и забрани при инвестициите във финансови инструменти.</w:t>
      </w:r>
    </w:p>
    <w:p w14:paraId="3E73B497" w14:textId="77777777" w:rsidR="00464A6E" w:rsidRPr="000169EA" w:rsidRDefault="00921D5D">
      <w:pPr>
        <w:pStyle w:val="LO-Normal"/>
        <w:widowControl w:val="0"/>
        <w:autoSpaceDE w:val="0"/>
        <w:spacing w:after="0" w:line="240" w:lineRule="auto"/>
        <w:ind w:firstLine="480"/>
        <w:jc w:val="both"/>
        <w:rPr>
          <w:rFonts w:ascii="Times New Roman" w:hAnsi="Times New Roman"/>
          <w:b/>
          <w:bCs/>
          <w:sz w:val="24"/>
          <w:szCs w:val="24"/>
        </w:rPr>
      </w:pPr>
      <w:r w:rsidRPr="000169EA">
        <w:rPr>
          <w:rFonts w:ascii="Times New Roman" w:hAnsi="Times New Roman"/>
          <w:b/>
          <w:bCs/>
          <w:sz w:val="24"/>
          <w:szCs w:val="24"/>
        </w:rPr>
        <w:t>2.2. Инвестиционни ограничения съгласно инвестиционната политика на фонда</w:t>
      </w:r>
    </w:p>
    <w:tbl>
      <w:tblPr>
        <w:tblW w:w="9795" w:type="dxa"/>
        <w:tblCellMar>
          <w:left w:w="10" w:type="dxa"/>
          <w:right w:w="10" w:type="dxa"/>
        </w:tblCellMar>
        <w:tblLook w:val="0000" w:firstRow="0" w:lastRow="0" w:firstColumn="0" w:lastColumn="0" w:noHBand="0" w:noVBand="0"/>
      </w:tblPr>
      <w:tblGrid>
        <w:gridCol w:w="50"/>
        <w:gridCol w:w="521"/>
        <w:gridCol w:w="4109"/>
        <w:gridCol w:w="4392"/>
        <w:gridCol w:w="723"/>
      </w:tblGrid>
      <w:tr w:rsidR="00464A6E" w14:paraId="4036395A" w14:textId="77777777">
        <w:tc>
          <w:tcPr>
            <w:tcW w:w="50" w:type="dxa"/>
          </w:tcPr>
          <w:p w14:paraId="77E3E0F0" w14:textId="77777777" w:rsidR="00464A6E" w:rsidRDefault="00464A6E">
            <w:pPr>
              <w:pStyle w:val="LO-Normal"/>
              <w:widowControl w:val="0"/>
              <w:autoSpaceDE w:val="0"/>
              <w:spacing w:after="0" w:line="240" w:lineRule="auto"/>
              <w:ind w:firstLine="480"/>
              <w:jc w:val="both"/>
              <w:rPr>
                <w:rFonts w:ascii="Times New Roman" w:hAnsi="Times New Roman"/>
                <w:sz w:val="24"/>
                <w:szCs w:val="24"/>
              </w:rPr>
            </w:pPr>
          </w:p>
        </w:tc>
        <w:tc>
          <w:tcPr>
            <w:tcW w:w="9745" w:type="dxa"/>
            <w:gridSpan w:val="4"/>
            <w:tcMar>
              <w:top w:w="15" w:type="dxa"/>
              <w:left w:w="15" w:type="dxa"/>
              <w:bottom w:w="15" w:type="dxa"/>
              <w:right w:w="15" w:type="dxa"/>
            </w:tcMar>
            <w:vAlign w:val="center"/>
          </w:tcPr>
          <w:p w14:paraId="7C396074" w14:textId="77777777" w:rsidR="00464A6E" w:rsidRDefault="00464A6E">
            <w:pPr>
              <w:pStyle w:val="LO-Normal"/>
              <w:widowControl w:val="0"/>
              <w:autoSpaceDE w:val="0"/>
              <w:spacing w:after="0" w:line="240" w:lineRule="auto"/>
              <w:ind w:firstLine="480"/>
              <w:jc w:val="both"/>
              <w:rPr>
                <w:rFonts w:ascii="Times New Roman" w:hAnsi="Times New Roman"/>
                <w:sz w:val="24"/>
                <w:szCs w:val="24"/>
              </w:rPr>
            </w:pPr>
          </w:p>
        </w:tc>
      </w:tr>
      <w:tr w:rsidR="00464A6E" w14:paraId="0B5E4EDB" w14:textId="77777777">
        <w:trPr>
          <w:trHeight w:hRule="exact" w:val="676"/>
        </w:trPr>
        <w:tc>
          <w:tcPr>
            <w:tcW w:w="571"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B430B3B" w14:textId="77777777" w:rsidR="00464A6E" w:rsidRDefault="00921D5D">
            <w:pPr>
              <w:pStyle w:val="LO-Normal"/>
              <w:shd w:val="clear" w:color="auto" w:fill="FFFFFF"/>
            </w:pPr>
            <w:r>
              <w:rPr>
                <w:rFonts w:ascii="Times New Roman" w:hAnsi="Times New Roman"/>
                <w:color w:val="000000"/>
                <w:sz w:val="24"/>
                <w:szCs w:val="24"/>
              </w:rPr>
              <w:t>№</w:t>
            </w:r>
          </w:p>
        </w:tc>
        <w:tc>
          <w:tcPr>
            <w:tcW w:w="41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612D8F5" w14:textId="77777777" w:rsidR="00464A6E" w:rsidRDefault="00921D5D">
            <w:pPr>
              <w:pStyle w:val="LO-Normal"/>
              <w:shd w:val="clear" w:color="auto" w:fill="FFFFFF"/>
            </w:pPr>
            <w:r>
              <w:rPr>
                <w:rFonts w:ascii="Times New Roman" w:hAnsi="Times New Roman"/>
                <w:color w:val="000000"/>
                <w:sz w:val="24"/>
                <w:szCs w:val="24"/>
              </w:rPr>
              <w:t>Инвестиционни инструменти</w:t>
            </w:r>
          </w:p>
        </w:tc>
        <w:tc>
          <w:tcPr>
            <w:tcW w:w="43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1F29908" w14:textId="77777777" w:rsidR="00552F1F" w:rsidRDefault="00921D5D" w:rsidP="00552F1F">
            <w:pPr>
              <w:pStyle w:val="LO-Normal"/>
              <w:shd w:val="clear" w:color="auto" w:fill="FFFFFF"/>
              <w:spacing w:after="0"/>
              <w:jc w:val="center"/>
              <w:rPr>
                <w:rFonts w:ascii="Times New Roman" w:hAnsi="Times New Roman"/>
                <w:color w:val="000000"/>
                <w:spacing w:val="-1"/>
                <w:sz w:val="24"/>
                <w:szCs w:val="24"/>
              </w:rPr>
            </w:pPr>
            <w:r>
              <w:rPr>
                <w:rFonts w:ascii="Times New Roman" w:hAnsi="Times New Roman"/>
                <w:color w:val="000000"/>
                <w:spacing w:val="-1"/>
                <w:sz w:val="24"/>
                <w:szCs w:val="24"/>
              </w:rPr>
              <w:t xml:space="preserve">Инвестиционни ограничения </w:t>
            </w:r>
          </w:p>
          <w:p w14:paraId="2C1A1907" w14:textId="33F465D0" w:rsidR="00464A6E" w:rsidRDefault="00921D5D" w:rsidP="00552F1F">
            <w:pPr>
              <w:pStyle w:val="LO-Normal"/>
              <w:shd w:val="clear" w:color="auto" w:fill="FFFFFF"/>
              <w:spacing w:after="0"/>
              <w:jc w:val="center"/>
            </w:pPr>
            <w:r>
              <w:rPr>
                <w:rFonts w:ascii="Times New Roman" w:hAnsi="Times New Roman"/>
                <w:color w:val="000000"/>
                <w:spacing w:val="-1"/>
                <w:sz w:val="24"/>
                <w:szCs w:val="24"/>
              </w:rPr>
              <w:t>( % от активите)</w:t>
            </w:r>
          </w:p>
        </w:tc>
        <w:tc>
          <w:tcPr>
            <w:tcW w:w="723" w:type="dxa"/>
          </w:tcPr>
          <w:p w14:paraId="003EFC36" w14:textId="77777777" w:rsidR="00464A6E" w:rsidRDefault="00464A6E">
            <w:pPr>
              <w:pStyle w:val="LO-Normal"/>
              <w:shd w:val="clear" w:color="auto" w:fill="FFFFFF"/>
              <w:jc w:val="center"/>
            </w:pPr>
          </w:p>
        </w:tc>
      </w:tr>
      <w:tr w:rsidR="00464A6E" w14:paraId="59856B74" w14:textId="77777777">
        <w:trPr>
          <w:trHeight w:hRule="exact" w:val="346"/>
        </w:trPr>
        <w:tc>
          <w:tcPr>
            <w:tcW w:w="571"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C03D39E" w14:textId="77777777" w:rsidR="00464A6E" w:rsidRDefault="00921D5D">
            <w:pPr>
              <w:pStyle w:val="LO-Normal"/>
              <w:shd w:val="clear" w:color="auto" w:fill="FFFFFF"/>
            </w:pPr>
            <w:r>
              <w:rPr>
                <w:rFonts w:ascii="Times New Roman" w:hAnsi="Times New Roman"/>
                <w:color w:val="000000"/>
                <w:sz w:val="24"/>
                <w:szCs w:val="24"/>
              </w:rPr>
              <w:t>1</w:t>
            </w:r>
          </w:p>
        </w:tc>
        <w:tc>
          <w:tcPr>
            <w:tcW w:w="41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9DA351E" w14:textId="77777777" w:rsidR="00464A6E" w:rsidRDefault="00921D5D">
            <w:pPr>
              <w:pStyle w:val="LO-Normal"/>
              <w:shd w:val="clear" w:color="auto" w:fill="FFFFFF"/>
            </w:pPr>
            <w:r>
              <w:rPr>
                <w:rFonts w:ascii="Times New Roman" w:hAnsi="Times New Roman"/>
                <w:color w:val="000000"/>
                <w:sz w:val="24"/>
                <w:szCs w:val="24"/>
              </w:rPr>
              <w:t>Дългови ценни книжа</w:t>
            </w:r>
          </w:p>
        </w:tc>
        <w:tc>
          <w:tcPr>
            <w:tcW w:w="43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334C3EC" w14:textId="77777777" w:rsidR="00464A6E" w:rsidRDefault="00921D5D">
            <w:pPr>
              <w:pStyle w:val="LO-Normal"/>
              <w:shd w:val="clear" w:color="auto" w:fill="FFFFFF"/>
              <w:jc w:val="center"/>
            </w:pPr>
            <w:r>
              <w:rPr>
                <w:rFonts w:ascii="Times New Roman" w:hAnsi="Times New Roman"/>
                <w:color w:val="000000"/>
                <w:sz w:val="24"/>
                <w:szCs w:val="24"/>
              </w:rPr>
              <w:t>100</w:t>
            </w:r>
          </w:p>
        </w:tc>
        <w:tc>
          <w:tcPr>
            <w:tcW w:w="723" w:type="dxa"/>
          </w:tcPr>
          <w:p w14:paraId="5A4D10AC" w14:textId="77777777" w:rsidR="00464A6E" w:rsidRDefault="00464A6E">
            <w:pPr>
              <w:pStyle w:val="LO-Normal"/>
              <w:shd w:val="clear" w:color="auto" w:fill="FFFFFF"/>
              <w:jc w:val="center"/>
            </w:pPr>
          </w:p>
        </w:tc>
      </w:tr>
      <w:tr w:rsidR="00464A6E" w14:paraId="45D4E913" w14:textId="77777777">
        <w:trPr>
          <w:trHeight w:hRule="exact" w:val="565"/>
        </w:trPr>
        <w:tc>
          <w:tcPr>
            <w:tcW w:w="571"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E781A3A" w14:textId="77777777" w:rsidR="00464A6E" w:rsidRDefault="00921D5D">
            <w:pPr>
              <w:pStyle w:val="LO-Normal"/>
              <w:shd w:val="clear" w:color="auto" w:fill="FFFFFF"/>
            </w:pPr>
            <w:r>
              <w:rPr>
                <w:rFonts w:ascii="Times New Roman" w:hAnsi="Times New Roman"/>
                <w:color w:val="000000"/>
                <w:sz w:val="24"/>
                <w:szCs w:val="24"/>
              </w:rPr>
              <w:t>2</w:t>
            </w:r>
          </w:p>
        </w:tc>
        <w:tc>
          <w:tcPr>
            <w:tcW w:w="41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0932227" w14:textId="77777777" w:rsidR="00464A6E" w:rsidRDefault="00921D5D">
            <w:pPr>
              <w:pStyle w:val="LO-Normal"/>
              <w:shd w:val="clear" w:color="auto" w:fill="FFFFFF"/>
            </w:pPr>
            <w:r>
              <w:rPr>
                <w:rFonts w:ascii="Times New Roman" w:hAnsi="Times New Roman"/>
                <w:color w:val="000000"/>
                <w:spacing w:val="-1"/>
                <w:sz w:val="24"/>
                <w:szCs w:val="24"/>
              </w:rPr>
              <w:t>Дялови ценни книжа (акции, права и дялове)</w:t>
            </w:r>
          </w:p>
        </w:tc>
        <w:tc>
          <w:tcPr>
            <w:tcW w:w="43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791E80A" w14:textId="77777777" w:rsidR="00464A6E" w:rsidRPr="00911787" w:rsidRDefault="00911787">
            <w:pPr>
              <w:pStyle w:val="LO-Normal"/>
              <w:shd w:val="clear" w:color="auto" w:fill="FFFFFF"/>
              <w:jc w:val="center"/>
              <w:rPr>
                <w:lang w:val="en-US"/>
              </w:rPr>
            </w:pPr>
            <w:r>
              <w:rPr>
                <w:rFonts w:ascii="Times New Roman" w:hAnsi="Times New Roman"/>
                <w:color w:val="000000"/>
                <w:sz w:val="24"/>
                <w:szCs w:val="24"/>
                <w:lang w:val="en-US"/>
              </w:rPr>
              <w:t>100</w:t>
            </w:r>
          </w:p>
        </w:tc>
        <w:tc>
          <w:tcPr>
            <w:tcW w:w="723" w:type="dxa"/>
          </w:tcPr>
          <w:p w14:paraId="337FB87A" w14:textId="77777777" w:rsidR="00464A6E" w:rsidRDefault="00464A6E">
            <w:pPr>
              <w:pStyle w:val="LO-Normal"/>
              <w:shd w:val="clear" w:color="auto" w:fill="FFFFFF"/>
              <w:jc w:val="center"/>
            </w:pPr>
          </w:p>
        </w:tc>
      </w:tr>
      <w:tr w:rsidR="00464A6E" w14:paraId="6108124B" w14:textId="77777777">
        <w:trPr>
          <w:trHeight w:hRule="exact" w:val="307"/>
        </w:trPr>
        <w:tc>
          <w:tcPr>
            <w:tcW w:w="571"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3FE660E" w14:textId="77777777" w:rsidR="00464A6E" w:rsidRDefault="00921D5D">
            <w:pPr>
              <w:pStyle w:val="LO-Normal"/>
              <w:shd w:val="clear" w:color="auto" w:fill="FFFFFF"/>
            </w:pPr>
            <w:r>
              <w:rPr>
                <w:rFonts w:ascii="Times New Roman" w:hAnsi="Times New Roman"/>
                <w:color w:val="000000"/>
                <w:sz w:val="24"/>
                <w:szCs w:val="24"/>
              </w:rPr>
              <w:t>3</w:t>
            </w:r>
          </w:p>
        </w:tc>
        <w:tc>
          <w:tcPr>
            <w:tcW w:w="41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19DECFF" w14:textId="77777777" w:rsidR="00464A6E" w:rsidRDefault="00921D5D">
            <w:pPr>
              <w:pStyle w:val="LO-Normal"/>
              <w:shd w:val="clear" w:color="auto" w:fill="FFFFFF"/>
            </w:pPr>
            <w:r>
              <w:rPr>
                <w:rFonts w:ascii="Times New Roman" w:hAnsi="Times New Roman"/>
                <w:color w:val="000000"/>
                <w:sz w:val="24"/>
                <w:szCs w:val="24"/>
              </w:rPr>
              <w:t>Банкови депозити</w:t>
            </w:r>
          </w:p>
        </w:tc>
        <w:tc>
          <w:tcPr>
            <w:tcW w:w="43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299B82C" w14:textId="77777777" w:rsidR="00464A6E" w:rsidRPr="00911787" w:rsidRDefault="00911787">
            <w:pPr>
              <w:pStyle w:val="LO-Normal"/>
              <w:shd w:val="clear" w:color="auto" w:fill="FFFFFF"/>
              <w:jc w:val="center"/>
              <w:rPr>
                <w:lang w:val="en-US"/>
              </w:rPr>
            </w:pPr>
            <w:r>
              <w:rPr>
                <w:rFonts w:ascii="Times New Roman" w:hAnsi="Times New Roman"/>
                <w:color w:val="000000"/>
                <w:sz w:val="24"/>
                <w:szCs w:val="24"/>
                <w:lang w:val="en-US"/>
              </w:rPr>
              <w:t>50</w:t>
            </w:r>
          </w:p>
        </w:tc>
        <w:tc>
          <w:tcPr>
            <w:tcW w:w="723" w:type="dxa"/>
          </w:tcPr>
          <w:p w14:paraId="1E3B390B" w14:textId="77777777" w:rsidR="00464A6E" w:rsidRDefault="00464A6E">
            <w:pPr>
              <w:pStyle w:val="LO-Normal"/>
              <w:shd w:val="clear" w:color="auto" w:fill="FFFFFF"/>
              <w:jc w:val="center"/>
            </w:pPr>
          </w:p>
        </w:tc>
      </w:tr>
      <w:tr w:rsidR="00464A6E" w14:paraId="180F8B41" w14:textId="77777777">
        <w:trPr>
          <w:trHeight w:hRule="exact" w:val="317"/>
        </w:trPr>
        <w:tc>
          <w:tcPr>
            <w:tcW w:w="571"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DB2A309" w14:textId="77777777" w:rsidR="00464A6E" w:rsidRDefault="00921D5D">
            <w:pPr>
              <w:pStyle w:val="LO-Normal"/>
              <w:shd w:val="clear" w:color="auto" w:fill="FFFFFF"/>
            </w:pPr>
            <w:r>
              <w:rPr>
                <w:rFonts w:ascii="Times New Roman" w:hAnsi="Times New Roman"/>
                <w:color w:val="000000"/>
                <w:sz w:val="24"/>
                <w:szCs w:val="24"/>
              </w:rPr>
              <w:t>4</w:t>
            </w:r>
          </w:p>
        </w:tc>
        <w:tc>
          <w:tcPr>
            <w:tcW w:w="41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925574E" w14:textId="77777777" w:rsidR="00464A6E" w:rsidRDefault="00921D5D">
            <w:pPr>
              <w:pStyle w:val="LO-Normal"/>
              <w:shd w:val="clear" w:color="auto" w:fill="FFFFFF"/>
            </w:pPr>
            <w:r>
              <w:rPr>
                <w:rFonts w:ascii="Times New Roman" w:hAnsi="Times New Roman"/>
                <w:color w:val="000000"/>
                <w:sz w:val="24"/>
                <w:szCs w:val="24"/>
              </w:rPr>
              <w:t>Инвестиционни имоти</w:t>
            </w:r>
          </w:p>
        </w:tc>
        <w:tc>
          <w:tcPr>
            <w:tcW w:w="43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893064E" w14:textId="77777777" w:rsidR="00464A6E" w:rsidRPr="002678E1" w:rsidRDefault="002678E1">
            <w:pPr>
              <w:pStyle w:val="LO-Normal"/>
              <w:shd w:val="clear" w:color="auto" w:fill="FFFFFF"/>
              <w:jc w:val="center"/>
              <w:rPr>
                <w:lang w:val="en-US"/>
              </w:rPr>
            </w:pPr>
            <w:r>
              <w:rPr>
                <w:rFonts w:ascii="Times New Roman" w:hAnsi="Times New Roman"/>
                <w:color w:val="000000"/>
                <w:sz w:val="24"/>
                <w:szCs w:val="24"/>
                <w:lang w:val="en-US"/>
              </w:rPr>
              <w:t>5</w:t>
            </w:r>
          </w:p>
        </w:tc>
        <w:tc>
          <w:tcPr>
            <w:tcW w:w="723" w:type="dxa"/>
          </w:tcPr>
          <w:p w14:paraId="4B65B64D" w14:textId="77777777" w:rsidR="00464A6E" w:rsidRDefault="00464A6E">
            <w:pPr>
              <w:pStyle w:val="LO-Normal"/>
              <w:shd w:val="clear" w:color="auto" w:fill="FFFFFF"/>
              <w:jc w:val="center"/>
            </w:pPr>
          </w:p>
        </w:tc>
      </w:tr>
    </w:tbl>
    <w:p w14:paraId="275E09F1" w14:textId="77777777" w:rsidR="00464A6E" w:rsidRDefault="00464A6E">
      <w:pPr>
        <w:pStyle w:val="LO-Normal"/>
        <w:widowControl w:val="0"/>
        <w:autoSpaceDE w:val="0"/>
        <w:spacing w:after="0" w:line="240" w:lineRule="auto"/>
        <w:ind w:firstLine="480"/>
        <w:jc w:val="both"/>
        <w:rPr>
          <w:rFonts w:ascii="Times New Roman" w:hAnsi="Times New Roman"/>
          <w:sz w:val="24"/>
          <w:szCs w:val="24"/>
        </w:rPr>
      </w:pPr>
    </w:p>
    <w:p w14:paraId="5DB02769" w14:textId="77777777" w:rsidR="00464A6E" w:rsidRPr="000169EA" w:rsidRDefault="00921D5D">
      <w:pPr>
        <w:pStyle w:val="LO-Normal"/>
        <w:widowControl w:val="0"/>
        <w:autoSpaceDE w:val="0"/>
        <w:spacing w:after="0" w:line="240" w:lineRule="auto"/>
        <w:ind w:firstLine="480"/>
        <w:jc w:val="both"/>
        <w:rPr>
          <w:rFonts w:ascii="Times New Roman" w:hAnsi="Times New Roman"/>
          <w:b/>
          <w:bCs/>
          <w:sz w:val="24"/>
          <w:szCs w:val="24"/>
        </w:rPr>
      </w:pPr>
      <w:r>
        <w:rPr>
          <w:rFonts w:ascii="Times New Roman" w:hAnsi="Times New Roman"/>
          <w:sz w:val="24"/>
          <w:szCs w:val="24"/>
        </w:rPr>
        <w:t xml:space="preserve">  </w:t>
      </w:r>
      <w:r w:rsidRPr="000169EA">
        <w:rPr>
          <w:rFonts w:ascii="Times New Roman" w:hAnsi="Times New Roman"/>
          <w:b/>
          <w:bCs/>
          <w:sz w:val="24"/>
          <w:szCs w:val="24"/>
        </w:rPr>
        <w:t>2.3. Доходност на пенсионния фонд</w:t>
      </w:r>
    </w:p>
    <w:p w14:paraId="49E4BE36" w14:textId="77777777" w:rsidR="00464A6E" w:rsidRDefault="00921D5D">
      <w:pPr>
        <w:pStyle w:val="LO-Normal"/>
        <w:widowControl w:val="0"/>
        <w:autoSpaceDE w:val="0"/>
        <w:spacing w:after="0" w:line="240" w:lineRule="auto"/>
        <w:ind w:firstLine="482"/>
        <w:jc w:val="both"/>
      </w:pPr>
      <w:r>
        <w:rPr>
          <w:rFonts w:ascii="Times New Roman" w:hAnsi="Times New Roman"/>
          <w:sz w:val="24"/>
          <w:szCs w:val="24"/>
        </w:rPr>
        <w:t>Постигнатата доходност на фонда за съответната година в процент се определя, като разликата между стойността на един дял, валидна за последния работен ден на годината, и стойността на един дял, валидна за последния работен ден на предходната година, се раздели на стойността на един дял, валидна за последния работен ден на предходната година. Стойността на един дял може, както да се увеличава, така и да намалява в резултат на постигнатия положителен или отрицателен доход от инвестициите на фонда.</w:t>
      </w:r>
    </w:p>
    <w:p w14:paraId="6761FA00"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sidRPr="00FB6692">
        <w:rPr>
          <w:rFonts w:ascii="Times New Roman" w:hAnsi="Times New Roman"/>
          <w:sz w:val="24"/>
          <w:szCs w:val="24"/>
        </w:rPr>
        <w:t>Постигната номинална доходност за последните 5 години</w:t>
      </w:r>
    </w:p>
    <w:p w14:paraId="34C0D0C8" w14:textId="77777777" w:rsidR="00464A6E" w:rsidRDefault="00464A6E">
      <w:pPr>
        <w:pStyle w:val="LO-Normal"/>
        <w:widowControl w:val="0"/>
        <w:autoSpaceDE w:val="0"/>
        <w:spacing w:after="0" w:line="240" w:lineRule="auto"/>
        <w:ind w:firstLine="480"/>
        <w:jc w:val="both"/>
        <w:rPr>
          <w:rFonts w:ascii="Times New Roman" w:hAnsi="Times New Roman"/>
          <w:sz w:val="24"/>
          <w:szCs w:val="24"/>
        </w:rPr>
      </w:pPr>
    </w:p>
    <w:p w14:paraId="64164905" w14:textId="7AAC9E27" w:rsidR="00464A6E" w:rsidRDefault="00FB6692" w:rsidP="00710987">
      <w:pPr>
        <w:pStyle w:val="LO-Normal"/>
        <w:widowControl w:val="0"/>
        <w:autoSpaceDE w:val="0"/>
        <w:spacing w:after="0" w:line="240" w:lineRule="auto"/>
        <w:ind w:firstLine="480"/>
        <w:jc w:val="center"/>
        <w:rPr>
          <w:rFonts w:ascii="Times New Roman" w:hAnsi="Times New Roman"/>
          <w:sz w:val="24"/>
          <w:szCs w:val="24"/>
        </w:rPr>
      </w:pPr>
      <w:r>
        <w:rPr>
          <w:rFonts w:ascii="Times New Roman" w:hAnsi="Times New Roman"/>
          <w:noProof/>
          <w:sz w:val="24"/>
          <w:szCs w:val="24"/>
        </w:rPr>
        <w:drawing>
          <wp:inline distT="0" distB="0" distL="0" distR="0" wp14:anchorId="62E21D14" wp14:editId="38DFBEEF">
            <wp:extent cx="4584700" cy="274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pic:spPr>
                </pic:pic>
              </a:graphicData>
            </a:graphic>
          </wp:inline>
        </w:drawing>
      </w:r>
    </w:p>
    <w:p w14:paraId="45FC1FC8" w14:textId="54B46B03" w:rsidR="00464A6E" w:rsidRDefault="00464A6E" w:rsidP="002678E1">
      <w:pPr>
        <w:pStyle w:val="LO-Normal"/>
        <w:widowControl w:val="0"/>
        <w:autoSpaceDE w:val="0"/>
        <w:spacing w:after="0" w:line="240" w:lineRule="auto"/>
        <w:ind w:firstLine="480"/>
        <w:rPr>
          <w:rFonts w:ascii="Times New Roman" w:hAnsi="Times New Roman"/>
          <w:sz w:val="24"/>
          <w:szCs w:val="24"/>
        </w:rPr>
      </w:pPr>
    </w:p>
    <w:p w14:paraId="745C02C3" w14:textId="77777777" w:rsidR="00464A6E" w:rsidRDefault="00464A6E">
      <w:pPr>
        <w:pStyle w:val="LO-Normal"/>
        <w:widowControl w:val="0"/>
        <w:autoSpaceDE w:val="0"/>
        <w:spacing w:after="0" w:line="240" w:lineRule="auto"/>
        <w:ind w:firstLine="480"/>
        <w:jc w:val="both"/>
      </w:pPr>
    </w:p>
    <w:tbl>
      <w:tblPr>
        <w:tblW w:w="9750" w:type="dxa"/>
        <w:tblInd w:w="45" w:type="dxa"/>
        <w:tblCellMar>
          <w:top w:w="15" w:type="dxa"/>
          <w:left w:w="15" w:type="dxa"/>
          <w:bottom w:w="15" w:type="dxa"/>
          <w:right w:w="15" w:type="dxa"/>
        </w:tblCellMar>
        <w:tblLook w:val="0000" w:firstRow="0" w:lastRow="0" w:firstColumn="0" w:lastColumn="0" w:noHBand="0" w:noVBand="0"/>
      </w:tblPr>
      <w:tblGrid>
        <w:gridCol w:w="9750"/>
      </w:tblGrid>
      <w:tr w:rsidR="00464A6E" w14:paraId="01FDC7ED" w14:textId="77777777">
        <w:tc>
          <w:tcPr>
            <w:tcW w:w="9750" w:type="dxa"/>
            <w:vAlign w:val="center"/>
          </w:tcPr>
          <w:p w14:paraId="08E2DB25" w14:textId="77777777" w:rsidR="00464A6E" w:rsidRDefault="00464A6E">
            <w:pPr>
              <w:pStyle w:val="LO-Normal"/>
              <w:widowControl w:val="0"/>
              <w:autoSpaceDE w:val="0"/>
              <w:spacing w:after="0" w:line="240" w:lineRule="auto"/>
              <w:ind w:firstLine="480"/>
              <w:jc w:val="both"/>
              <w:rPr>
                <w:rFonts w:ascii="Times New Roman" w:hAnsi="Times New Roman"/>
                <w:sz w:val="24"/>
                <w:szCs w:val="24"/>
              </w:rPr>
            </w:pPr>
          </w:p>
        </w:tc>
      </w:tr>
    </w:tbl>
    <w:p w14:paraId="7FEB8C63"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  Посочените резултати се отнасят за минал период и не следва да се считат като обещание за бъдещи резултати.</w:t>
      </w:r>
    </w:p>
    <w:p w14:paraId="37E78A1B" w14:textId="77777777" w:rsidR="00552F1F" w:rsidRDefault="00552F1F">
      <w:pPr>
        <w:pStyle w:val="LO-Normal"/>
        <w:widowControl w:val="0"/>
        <w:autoSpaceDE w:val="0"/>
        <w:spacing w:after="0" w:line="240" w:lineRule="auto"/>
        <w:ind w:firstLine="480"/>
        <w:jc w:val="both"/>
        <w:rPr>
          <w:rFonts w:ascii="Times New Roman" w:hAnsi="Times New Roman"/>
          <w:sz w:val="24"/>
          <w:szCs w:val="24"/>
        </w:rPr>
      </w:pPr>
    </w:p>
    <w:p w14:paraId="0A75A223" w14:textId="77777777" w:rsidR="00464A6E" w:rsidRPr="000169EA" w:rsidRDefault="00921D5D">
      <w:pPr>
        <w:pStyle w:val="LO-Normal"/>
        <w:widowControl w:val="0"/>
        <w:autoSpaceDE w:val="0"/>
        <w:spacing w:after="0" w:line="240" w:lineRule="auto"/>
        <w:ind w:firstLine="480"/>
        <w:jc w:val="both"/>
        <w:rPr>
          <w:rFonts w:ascii="Times New Roman" w:hAnsi="Times New Roman"/>
          <w:b/>
          <w:bCs/>
          <w:sz w:val="24"/>
          <w:szCs w:val="24"/>
        </w:rPr>
      </w:pPr>
      <w:r w:rsidRPr="000169EA">
        <w:rPr>
          <w:rFonts w:ascii="Times New Roman" w:hAnsi="Times New Roman"/>
          <w:b/>
          <w:bCs/>
          <w:sz w:val="24"/>
          <w:szCs w:val="24"/>
        </w:rPr>
        <w:t>2.4. Инвестиционен риск на пенсионния фонд</w:t>
      </w:r>
    </w:p>
    <w:p w14:paraId="5DD9DFF8"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Инвестиционният риск се характеризира с променливостта на постигнатата доходност от управлението на активите на фонда. Показател за измерване на </w:t>
      </w:r>
      <w:r>
        <w:rPr>
          <w:rFonts w:ascii="Times New Roman" w:hAnsi="Times New Roman"/>
          <w:sz w:val="24"/>
          <w:szCs w:val="24"/>
        </w:rPr>
        <w:lastRenderedPageBreak/>
        <w:t>инвестиционния риск е стандартното отклонение на доходността. По-високи стойности на стандартното отклонение означават по-висока степен на променливост (волатилност) на постигнатата доходност и съответно по-голям  риск.</w:t>
      </w:r>
    </w:p>
    <w:p w14:paraId="0A722356" w14:textId="77777777" w:rsidR="002F6E72" w:rsidRDefault="002F6E72">
      <w:pPr>
        <w:pStyle w:val="LO-Normal"/>
        <w:widowControl w:val="0"/>
        <w:autoSpaceDE w:val="0"/>
        <w:spacing w:after="0" w:line="240" w:lineRule="auto"/>
        <w:ind w:firstLine="480"/>
        <w:jc w:val="both"/>
      </w:pPr>
    </w:p>
    <w:p w14:paraId="57C23F7B"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sidRPr="00FB6692">
        <w:rPr>
          <w:rFonts w:ascii="Times New Roman" w:hAnsi="Times New Roman"/>
          <w:sz w:val="24"/>
          <w:szCs w:val="24"/>
        </w:rPr>
        <w:t>Стандартно отклонение на доходността за последните 5 години</w:t>
      </w:r>
    </w:p>
    <w:p w14:paraId="520A3616" w14:textId="77777777" w:rsidR="002678E1" w:rsidRDefault="002678E1">
      <w:pPr>
        <w:pStyle w:val="LO-Normal"/>
        <w:widowControl w:val="0"/>
        <w:autoSpaceDE w:val="0"/>
        <w:spacing w:after="0" w:line="240" w:lineRule="auto"/>
        <w:ind w:firstLine="480"/>
        <w:jc w:val="both"/>
        <w:rPr>
          <w:rFonts w:ascii="Times New Roman" w:hAnsi="Times New Roman"/>
          <w:sz w:val="24"/>
          <w:szCs w:val="24"/>
        </w:rPr>
      </w:pPr>
    </w:p>
    <w:tbl>
      <w:tblPr>
        <w:tblW w:w="9750" w:type="dxa"/>
        <w:tblCellMar>
          <w:top w:w="15" w:type="dxa"/>
          <w:left w:w="15" w:type="dxa"/>
          <w:bottom w:w="15" w:type="dxa"/>
          <w:right w:w="15" w:type="dxa"/>
        </w:tblCellMar>
        <w:tblLook w:val="0000" w:firstRow="0" w:lastRow="0" w:firstColumn="0" w:lastColumn="0" w:noHBand="0" w:noVBand="0"/>
      </w:tblPr>
      <w:tblGrid>
        <w:gridCol w:w="9750"/>
      </w:tblGrid>
      <w:tr w:rsidR="00464A6E" w14:paraId="5ADAF1F5" w14:textId="77777777">
        <w:tc>
          <w:tcPr>
            <w:tcW w:w="9750" w:type="dxa"/>
            <w:vAlign w:val="center"/>
          </w:tcPr>
          <w:p w14:paraId="6CC9D31D" w14:textId="1B228BB4" w:rsidR="002F6E72" w:rsidRDefault="00FB6692" w:rsidP="00D81D1D">
            <w:pPr>
              <w:pStyle w:val="LO-Normal"/>
              <w:widowControl w:val="0"/>
              <w:autoSpaceDE w:val="0"/>
              <w:spacing w:after="0" w:line="240" w:lineRule="auto"/>
              <w:ind w:firstLine="480"/>
              <w:jc w:val="center"/>
              <w:rPr>
                <w:rFonts w:ascii="Times New Roman" w:hAnsi="Times New Roman"/>
                <w:sz w:val="24"/>
                <w:szCs w:val="24"/>
              </w:rPr>
            </w:pPr>
            <w:r>
              <w:rPr>
                <w:rFonts w:ascii="Times New Roman" w:hAnsi="Times New Roman"/>
                <w:noProof/>
                <w:sz w:val="24"/>
                <w:szCs w:val="24"/>
              </w:rPr>
              <w:drawing>
                <wp:inline distT="0" distB="0" distL="0" distR="0" wp14:anchorId="4026AAEC" wp14:editId="3760E449">
                  <wp:extent cx="4584700" cy="2755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5B4F9AC" w14:textId="1A36BC2B" w:rsidR="00464A6E" w:rsidRDefault="00464A6E" w:rsidP="002678E1">
            <w:pPr>
              <w:pStyle w:val="LO-Normal"/>
              <w:widowControl w:val="0"/>
              <w:autoSpaceDE w:val="0"/>
              <w:spacing w:after="0" w:line="240" w:lineRule="auto"/>
              <w:ind w:firstLine="480"/>
            </w:pPr>
          </w:p>
        </w:tc>
      </w:tr>
    </w:tbl>
    <w:p w14:paraId="5618064B" w14:textId="0739E82E" w:rsidR="002678E1"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  </w:t>
      </w:r>
    </w:p>
    <w:p w14:paraId="72B64B00"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Посочените резултати се отнасят за минал период и не следва да се считат като обещание за бъдещи резултати.</w:t>
      </w:r>
    </w:p>
    <w:p w14:paraId="56684472"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Инвестиционната политика на пенсионния фонд, измененията в основните цели и ограничения на инвестиционната дейност, както и значението на показателите за постигнатата доходност и равнището на инвестиционния риск са достъпни в офиса на дружеството и на неговата страница в интернет</w:t>
      </w:r>
      <w:r w:rsidRPr="00D81D1D">
        <w:rPr>
          <w:rFonts w:ascii="Times New Roman" w:hAnsi="Times New Roman"/>
          <w:sz w:val="24"/>
          <w:szCs w:val="24"/>
          <w:lang w:val="ru-RU"/>
        </w:rPr>
        <w:t xml:space="preserve"> </w:t>
      </w:r>
      <w:hyperlink r:id="rId10" w:tgtFrame="_top">
        <w:r>
          <w:rPr>
            <w:rStyle w:val="Hyperlink"/>
            <w:rFonts w:ascii="Times New Roman" w:hAnsi="Times New Roman"/>
            <w:sz w:val="24"/>
            <w:szCs w:val="24"/>
            <w:lang w:val="en-US"/>
          </w:rPr>
          <w:t>http</w:t>
        </w:r>
        <w:r w:rsidRPr="00D81D1D">
          <w:rPr>
            <w:rStyle w:val="Hyperlink"/>
            <w:rFonts w:ascii="Times New Roman" w:hAnsi="Times New Roman"/>
            <w:sz w:val="24"/>
            <w:szCs w:val="24"/>
            <w:lang w:val="ru-RU"/>
          </w:rPr>
          <w:t>://</w:t>
        </w:r>
        <w:r>
          <w:rPr>
            <w:rStyle w:val="Hyperlink"/>
            <w:rFonts w:ascii="Times New Roman" w:hAnsi="Times New Roman"/>
            <w:sz w:val="24"/>
            <w:szCs w:val="24"/>
            <w:lang w:val="en-US"/>
          </w:rPr>
          <w:t>www</w:t>
        </w:r>
        <w:r w:rsidRPr="00D81D1D">
          <w:rPr>
            <w:rStyle w:val="Hyperlink"/>
            <w:rFonts w:ascii="Times New Roman" w:hAnsi="Times New Roman"/>
            <w:sz w:val="24"/>
            <w:szCs w:val="24"/>
            <w:lang w:val="ru-RU"/>
          </w:rPr>
          <w:t>.</w:t>
        </w:r>
        <w:r>
          <w:rPr>
            <w:rStyle w:val="Hyperlink"/>
            <w:rFonts w:ascii="Times New Roman" w:hAnsi="Times New Roman"/>
            <w:sz w:val="24"/>
            <w:szCs w:val="24"/>
            <w:lang w:val="en-US"/>
          </w:rPr>
          <w:t>pod</w:t>
        </w:r>
        <w:r w:rsidRPr="00D81D1D">
          <w:rPr>
            <w:rStyle w:val="Hyperlink"/>
            <w:rFonts w:ascii="Times New Roman" w:hAnsi="Times New Roman"/>
            <w:sz w:val="24"/>
            <w:szCs w:val="24"/>
            <w:lang w:val="ru-RU"/>
          </w:rPr>
          <w:t>-</w:t>
        </w:r>
        <w:proofErr w:type="spellStart"/>
        <w:r>
          <w:rPr>
            <w:rStyle w:val="Hyperlink"/>
            <w:rFonts w:ascii="Times New Roman" w:hAnsi="Times New Roman"/>
            <w:sz w:val="24"/>
            <w:szCs w:val="24"/>
            <w:lang w:val="en-US"/>
          </w:rPr>
          <w:t>budeshte</w:t>
        </w:r>
        <w:proofErr w:type="spellEnd"/>
        <w:r w:rsidRPr="00D81D1D">
          <w:rPr>
            <w:rStyle w:val="Hyperlink"/>
            <w:rFonts w:ascii="Times New Roman" w:hAnsi="Times New Roman"/>
            <w:sz w:val="24"/>
            <w:szCs w:val="24"/>
            <w:lang w:val="ru-RU"/>
          </w:rPr>
          <w:t>.</w:t>
        </w:r>
        <w:proofErr w:type="spellStart"/>
        <w:r>
          <w:rPr>
            <w:rStyle w:val="Hyperlink"/>
            <w:rFonts w:ascii="Times New Roman" w:hAnsi="Times New Roman"/>
            <w:sz w:val="24"/>
            <w:szCs w:val="24"/>
            <w:lang w:val="en-US"/>
          </w:rPr>
          <w:t>bg</w:t>
        </w:r>
        <w:proofErr w:type="spellEnd"/>
      </w:hyperlink>
    </w:p>
    <w:p w14:paraId="7916B695"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 xml:space="preserve">Допълнителна информация за доходността и стандартното отклонение на всички пенсионни фондове можете да намерите на сайта на КФН </w:t>
      </w:r>
      <w:hyperlink r:id="rId11" w:tgtFrame="_top">
        <w:r>
          <w:rPr>
            <w:rStyle w:val="Hyperlink"/>
            <w:rFonts w:ascii="Times New Roman" w:hAnsi="Times New Roman"/>
            <w:sz w:val="24"/>
            <w:szCs w:val="24"/>
          </w:rPr>
          <w:t>http://www.fsc.bg</w:t>
        </w:r>
      </w:hyperlink>
    </w:p>
    <w:p w14:paraId="776764EA"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До 10-о число на месеца, следващ всяко календарно тримесечие, ПОД публикува</w:t>
      </w:r>
      <w:r w:rsidRPr="00D81D1D">
        <w:rPr>
          <w:rFonts w:ascii="Times New Roman" w:hAnsi="Times New Roman"/>
          <w:sz w:val="24"/>
          <w:szCs w:val="24"/>
          <w:lang w:val="ru-RU"/>
        </w:rPr>
        <w:t xml:space="preserve"> </w:t>
      </w:r>
      <w:r>
        <w:rPr>
          <w:rFonts w:ascii="Times New Roman" w:hAnsi="Times New Roman"/>
          <w:sz w:val="24"/>
          <w:szCs w:val="24"/>
        </w:rPr>
        <w:t>на своята страница в интернет информация за обема и структурата на инвестициите по видове активи и емитенти на ценни книжа за управлявания от него ДПФ.</w:t>
      </w:r>
    </w:p>
    <w:p w14:paraId="10871C41" w14:textId="77777777" w:rsidR="005F2F78" w:rsidRDefault="005F2F78">
      <w:pPr>
        <w:pStyle w:val="LO-Normal"/>
        <w:widowControl w:val="0"/>
        <w:autoSpaceDE w:val="0"/>
        <w:spacing w:after="0" w:line="240" w:lineRule="auto"/>
        <w:ind w:firstLine="480"/>
        <w:jc w:val="both"/>
        <w:rPr>
          <w:rFonts w:ascii="Times New Roman" w:hAnsi="Times New Roman"/>
          <w:b/>
          <w:bCs/>
          <w:sz w:val="24"/>
          <w:szCs w:val="24"/>
        </w:rPr>
      </w:pPr>
    </w:p>
    <w:p w14:paraId="65AA026C" w14:textId="77777777" w:rsidR="005F2F78" w:rsidRDefault="005F2F78">
      <w:pPr>
        <w:pStyle w:val="LO-Normal"/>
        <w:widowControl w:val="0"/>
        <w:autoSpaceDE w:val="0"/>
        <w:spacing w:after="0" w:line="240" w:lineRule="auto"/>
        <w:ind w:firstLine="480"/>
        <w:jc w:val="both"/>
        <w:rPr>
          <w:rFonts w:ascii="Times New Roman" w:hAnsi="Times New Roman"/>
          <w:b/>
          <w:bCs/>
          <w:sz w:val="24"/>
          <w:szCs w:val="24"/>
        </w:rPr>
      </w:pPr>
    </w:p>
    <w:p w14:paraId="54976FB3" w14:textId="2A53A33C" w:rsidR="00464A6E" w:rsidRDefault="00921D5D">
      <w:pPr>
        <w:pStyle w:val="LO-Normal"/>
        <w:widowControl w:val="0"/>
        <w:autoSpaceDE w:val="0"/>
        <w:spacing w:after="0" w:line="240" w:lineRule="auto"/>
        <w:ind w:firstLine="480"/>
        <w:jc w:val="both"/>
        <w:rPr>
          <w:rFonts w:ascii="Times New Roman" w:hAnsi="Times New Roman"/>
          <w:b/>
          <w:bCs/>
          <w:sz w:val="24"/>
          <w:szCs w:val="24"/>
        </w:rPr>
      </w:pPr>
      <w:r w:rsidRPr="000169EA">
        <w:rPr>
          <w:rFonts w:ascii="Times New Roman" w:hAnsi="Times New Roman"/>
          <w:b/>
          <w:bCs/>
          <w:sz w:val="24"/>
          <w:szCs w:val="24"/>
        </w:rPr>
        <w:t>3. Такси и удръжки</w:t>
      </w:r>
    </w:p>
    <w:p w14:paraId="7B22DD45" w14:textId="77777777" w:rsidR="00552F1F" w:rsidRPr="000169EA" w:rsidRDefault="00552F1F">
      <w:pPr>
        <w:pStyle w:val="LO-Normal"/>
        <w:widowControl w:val="0"/>
        <w:autoSpaceDE w:val="0"/>
        <w:spacing w:after="0" w:line="240" w:lineRule="auto"/>
        <w:ind w:firstLine="480"/>
        <w:jc w:val="both"/>
        <w:rPr>
          <w:rFonts w:ascii="Times New Roman" w:hAnsi="Times New Roman"/>
          <w:b/>
          <w:bCs/>
          <w:sz w:val="24"/>
          <w:szCs w:val="24"/>
        </w:rPr>
      </w:pPr>
    </w:p>
    <w:p w14:paraId="50A50842"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При управлението на фонда „ПОД-Бъдеще“ АД събира следните такси и удръжки:</w:t>
      </w:r>
    </w:p>
    <w:p w14:paraId="3E3510BC" w14:textId="77777777" w:rsidR="00552F1F" w:rsidRDefault="00552F1F">
      <w:pPr>
        <w:pStyle w:val="LO-Normal"/>
        <w:widowControl w:val="0"/>
        <w:autoSpaceDE w:val="0"/>
        <w:spacing w:after="0" w:line="240" w:lineRule="auto"/>
        <w:ind w:firstLine="480"/>
        <w:jc w:val="both"/>
        <w:rPr>
          <w:rFonts w:ascii="Times New Roman" w:hAnsi="Times New Roman"/>
          <w:sz w:val="24"/>
          <w:szCs w:val="24"/>
        </w:rPr>
      </w:pPr>
    </w:p>
    <w:tbl>
      <w:tblPr>
        <w:tblW w:w="9004" w:type="dxa"/>
        <w:tblLayout w:type="fixed"/>
        <w:tblCellMar>
          <w:left w:w="10" w:type="dxa"/>
          <w:right w:w="10" w:type="dxa"/>
        </w:tblCellMar>
        <w:tblLook w:val="0000" w:firstRow="0" w:lastRow="0" w:firstColumn="0" w:lastColumn="0" w:noHBand="0" w:noVBand="0"/>
      </w:tblPr>
      <w:tblGrid>
        <w:gridCol w:w="2689"/>
        <w:gridCol w:w="6315"/>
      </w:tblGrid>
      <w:tr w:rsidR="00552F1F" w:rsidRPr="002F4C0E" w14:paraId="11BE0EE0" w14:textId="77777777" w:rsidTr="00203A79">
        <w:tc>
          <w:tcPr>
            <w:tcW w:w="268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FA558FF" w14:textId="77777777" w:rsidR="00552F1F" w:rsidRPr="002F4C0E" w:rsidRDefault="00552F1F" w:rsidP="00203A79">
            <w:pPr>
              <w:shd w:val="clear" w:color="auto" w:fill="FFFFFF"/>
              <w:rPr>
                <w:sz w:val="20"/>
                <w:szCs w:val="20"/>
              </w:rPr>
            </w:pPr>
            <w:r w:rsidRPr="002F4C0E">
              <w:rPr>
                <w:rFonts w:ascii="Times New Roman" w:hAnsi="Times New Roman"/>
                <w:color w:val="000000"/>
                <w:spacing w:val="-1"/>
                <w:sz w:val="20"/>
                <w:szCs w:val="20"/>
              </w:rPr>
              <w:t>Еднократна встъпителна такса за откриване на индивидуална партида</w:t>
            </w:r>
          </w:p>
        </w:tc>
        <w:tc>
          <w:tcPr>
            <w:tcW w:w="631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55402EE" w14:textId="77777777" w:rsidR="00552F1F" w:rsidRPr="002F4C0E" w:rsidRDefault="00552F1F" w:rsidP="00203A79">
            <w:pPr>
              <w:shd w:val="clear" w:color="auto" w:fill="FFFFFF"/>
              <w:ind w:left="5"/>
              <w:jc w:val="both"/>
              <w:rPr>
                <w:rFonts w:ascii="Times New Roman" w:hAnsi="Times New Roman"/>
                <w:sz w:val="20"/>
                <w:szCs w:val="20"/>
              </w:rPr>
            </w:pPr>
            <w:r w:rsidRPr="002F4C0E">
              <w:rPr>
                <w:rFonts w:ascii="Times New Roman" w:hAnsi="Times New Roman"/>
                <w:sz w:val="20"/>
                <w:szCs w:val="20"/>
              </w:rPr>
              <w:t>а)</w:t>
            </w:r>
            <w:r w:rsidRPr="002F4C0E">
              <w:rPr>
                <w:rFonts w:ascii="Arial" w:hAnsi="Arial" w:cs="Arial"/>
                <w:sz w:val="20"/>
                <w:szCs w:val="20"/>
              </w:rPr>
              <w:t xml:space="preserve"> </w:t>
            </w:r>
            <w:r w:rsidRPr="002F4C0E">
              <w:rPr>
                <w:rFonts w:ascii="Times New Roman" w:hAnsi="Times New Roman"/>
                <w:sz w:val="20"/>
                <w:szCs w:val="20"/>
              </w:rPr>
              <w:t>3.00 (три) евро за договор за доброволно пенсионно осигуряване от осигурител, при който броят на осигурените лица е до 500 лица включително;</w:t>
            </w:r>
          </w:p>
          <w:p w14:paraId="43014B90" w14:textId="77777777" w:rsidR="00552F1F" w:rsidRPr="002F4C0E" w:rsidRDefault="00552F1F" w:rsidP="00203A79">
            <w:pPr>
              <w:shd w:val="clear" w:color="auto" w:fill="FFFFFF"/>
              <w:ind w:left="5"/>
              <w:jc w:val="both"/>
              <w:rPr>
                <w:rFonts w:ascii="Times New Roman" w:hAnsi="Times New Roman"/>
                <w:sz w:val="20"/>
                <w:szCs w:val="20"/>
              </w:rPr>
            </w:pPr>
            <w:r w:rsidRPr="002F4C0E">
              <w:rPr>
                <w:rFonts w:ascii="Times New Roman" w:hAnsi="Times New Roman"/>
                <w:sz w:val="20"/>
                <w:szCs w:val="20"/>
              </w:rPr>
              <w:t>б) 2.00 (две) евро за договор за доброволно пенсионно осигуряване от осигурител, при който броят на осигурените лица е над 500 лица;</w:t>
            </w:r>
          </w:p>
          <w:p w14:paraId="23BCAAC2" w14:textId="77777777" w:rsidR="00552F1F" w:rsidRPr="002F4C0E" w:rsidRDefault="00552F1F" w:rsidP="00203A79">
            <w:pPr>
              <w:pStyle w:val="BodyTextIndent"/>
              <w:ind w:right="48" w:firstLine="0"/>
              <w:rPr>
                <w:rFonts w:ascii="Times New Roman" w:hAnsi="Times New Roman"/>
                <w:sz w:val="20"/>
                <w:lang w:val="bg-BG" w:eastAsia="bg-BG"/>
              </w:rPr>
            </w:pPr>
            <w:r w:rsidRPr="002F4C0E">
              <w:rPr>
                <w:rFonts w:ascii="Times New Roman" w:hAnsi="Times New Roman"/>
                <w:sz w:val="20"/>
                <w:lang w:val="bg-BG" w:eastAsia="bg-BG"/>
              </w:rPr>
              <w:t>в) еднократна встъпителна такса не се събира за лица, които към момента на сключване на договора за доброволно пенсионно осигуряване имат натрупани средства по партидата си чрез друг договор за доброволно пенсионно осигуряване във Фонда;</w:t>
            </w:r>
          </w:p>
          <w:p w14:paraId="17EF86FB" w14:textId="77777777" w:rsidR="00552F1F" w:rsidRPr="002F4C0E" w:rsidRDefault="00552F1F" w:rsidP="00203A79">
            <w:pPr>
              <w:pStyle w:val="BodyTextIndent"/>
              <w:ind w:right="48" w:firstLine="0"/>
              <w:rPr>
                <w:rFonts w:ascii="Times New Roman" w:hAnsi="Times New Roman"/>
                <w:sz w:val="20"/>
                <w:lang w:val="bg-BG" w:eastAsia="bg-BG"/>
              </w:rPr>
            </w:pPr>
          </w:p>
          <w:p w14:paraId="5B1A0EFE" w14:textId="77777777" w:rsidR="00552F1F" w:rsidRPr="002F4C0E" w:rsidRDefault="00552F1F" w:rsidP="00203A79">
            <w:pPr>
              <w:pStyle w:val="BodyTextIndent"/>
              <w:ind w:right="48" w:firstLine="0"/>
              <w:rPr>
                <w:rFonts w:ascii="Times New Roman" w:hAnsi="Times New Roman"/>
                <w:sz w:val="20"/>
              </w:rPr>
            </w:pPr>
            <w:r w:rsidRPr="002F4C0E">
              <w:rPr>
                <w:rFonts w:ascii="Times New Roman" w:hAnsi="Times New Roman"/>
                <w:sz w:val="20"/>
                <w:lang w:val="bg-BG" w:eastAsia="bg-BG"/>
              </w:rPr>
              <w:t>г) таксата не се събира и за лица, които се прехвърлят от друг доброволен пенсионен фонд, управляван от друго пенсионноосигурително дружество.</w:t>
            </w:r>
          </w:p>
        </w:tc>
      </w:tr>
      <w:tr w:rsidR="00552F1F" w:rsidRPr="002F4C0E" w14:paraId="27A5597A" w14:textId="77777777" w:rsidTr="00203A79">
        <w:tc>
          <w:tcPr>
            <w:tcW w:w="268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34D70BB" w14:textId="77777777" w:rsidR="00552F1F" w:rsidRPr="002F4C0E" w:rsidRDefault="00552F1F" w:rsidP="00203A79">
            <w:pPr>
              <w:shd w:val="clear" w:color="auto" w:fill="FFFFFF"/>
              <w:rPr>
                <w:rFonts w:ascii="Times New Roman" w:hAnsi="Times New Roman"/>
                <w:color w:val="000000"/>
                <w:spacing w:val="-1"/>
                <w:sz w:val="20"/>
                <w:szCs w:val="20"/>
              </w:rPr>
            </w:pPr>
            <w:r w:rsidRPr="002F4C0E">
              <w:rPr>
                <w:rFonts w:ascii="Times New Roman" w:hAnsi="Times New Roman"/>
                <w:color w:val="000000"/>
                <w:sz w:val="20"/>
                <w:szCs w:val="20"/>
              </w:rPr>
              <w:lastRenderedPageBreak/>
              <w:t>Удръжка от всяка осигурителна вноска</w:t>
            </w:r>
          </w:p>
        </w:tc>
        <w:tc>
          <w:tcPr>
            <w:tcW w:w="631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CEA891C" w14:textId="77777777" w:rsidR="00552F1F" w:rsidRPr="002F4C0E" w:rsidRDefault="00552F1F" w:rsidP="00203A79">
            <w:pPr>
              <w:pStyle w:val="BodyTextIndent"/>
              <w:ind w:right="48" w:firstLine="0"/>
              <w:rPr>
                <w:rFonts w:ascii="Times New Roman" w:hAnsi="Times New Roman"/>
                <w:b/>
                <w:bCs/>
                <w:sz w:val="20"/>
                <w:lang w:val="bg-BG" w:eastAsia="bg-BG"/>
              </w:rPr>
            </w:pPr>
            <w:r w:rsidRPr="002F4C0E">
              <w:rPr>
                <w:rFonts w:ascii="Times New Roman" w:hAnsi="Times New Roman"/>
                <w:b/>
                <w:bCs/>
                <w:sz w:val="20"/>
                <w:lang w:val="bg-BG" w:eastAsia="bg-BG"/>
              </w:rPr>
              <w:t xml:space="preserve">1.Удръжка като процент от всяка месечна осигурителна вноска, която се използва за администриране и управление на ФОНДА в размер на: </w:t>
            </w:r>
          </w:p>
          <w:p w14:paraId="1C9A9C1D" w14:textId="77777777" w:rsidR="00552F1F" w:rsidRPr="002F4C0E" w:rsidRDefault="00552F1F" w:rsidP="00203A79">
            <w:pPr>
              <w:pStyle w:val="BodyTextIndent"/>
              <w:ind w:right="48" w:firstLine="0"/>
              <w:rPr>
                <w:rFonts w:ascii="Times New Roman" w:hAnsi="Times New Roman"/>
                <w:sz w:val="20"/>
                <w:lang w:val="bg-BG" w:eastAsia="bg-BG"/>
              </w:rPr>
            </w:pPr>
          </w:p>
          <w:p w14:paraId="7263CD10" w14:textId="77777777" w:rsidR="00552F1F" w:rsidRPr="002F4C0E" w:rsidRDefault="00552F1F" w:rsidP="00203A79">
            <w:pPr>
              <w:pStyle w:val="BodyTextIndent"/>
              <w:ind w:right="48" w:firstLine="0"/>
              <w:rPr>
                <w:rFonts w:ascii="Times New Roman" w:hAnsi="Times New Roman"/>
                <w:sz w:val="20"/>
                <w:lang w:val="bg-BG" w:eastAsia="bg-BG"/>
              </w:rPr>
            </w:pPr>
            <w:r w:rsidRPr="002F4C0E">
              <w:rPr>
                <w:rFonts w:ascii="Times New Roman" w:hAnsi="Times New Roman"/>
                <w:sz w:val="20"/>
                <w:lang w:val="bg-BG" w:eastAsia="bg-BG"/>
              </w:rPr>
              <w:t xml:space="preserve">а) 4.25%- по индивидуален договор за допълнително доброволно пенсионно осигуряване с месечна вноска до 50 (петдесет) евро включително. </w:t>
            </w:r>
          </w:p>
          <w:p w14:paraId="79BED86B" w14:textId="77777777" w:rsidR="00552F1F" w:rsidRPr="002F4C0E" w:rsidRDefault="00552F1F" w:rsidP="00203A79">
            <w:pPr>
              <w:pStyle w:val="BodyTextIndent"/>
              <w:ind w:right="48" w:firstLine="0"/>
              <w:rPr>
                <w:rFonts w:ascii="Times New Roman" w:hAnsi="Times New Roman"/>
                <w:sz w:val="20"/>
                <w:lang w:val="bg-BG" w:eastAsia="bg-BG"/>
              </w:rPr>
            </w:pPr>
          </w:p>
          <w:p w14:paraId="29817995" w14:textId="6FF430A3" w:rsidR="00552F1F" w:rsidRPr="002F4C0E" w:rsidRDefault="00552F1F" w:rsidP="00EB6F5A">
            <w:pPr>
              <w:pStyle w:val="BodyTextIndent"/>
              <w:ind w:right="0" w:firstLine="0"/>
              <w:rPr>
                <w:rFonts w:ascii="Times New Roman" w:hAnsi="Times New Roman"/>
                <w:sz w:val="20"/>
                <w:lang w:val="bg-BG"/>
              </w:rPr>
            </w:pPr>
            <w:r w:rsidRPr="002F4C0E">
              <w:rPr>
                <w:rFonts w:ascii="Times New Roman" w:hAnsi="Times New Roman"/>
                <w:sz w:val="20"/>
                <w:lang w:val="bg-BG" w:eastAsia="bg-BG"/>
              </w:rPr>
              <w:t xml:space="preserve">б) </w:t>
            </w:r>
            <w:r w:rsidRPr="002F4C0E">
              <w:rPr>
                <w:rFonts w:ascii="Times New Roman" w:hAnsi="Times New Roman"/>
                <w:sz w:val="20"/>
                <w:lang w:val="bg-BG"/>
              </w:rPr>
              <w:t>4.00%- по индивидуален договор за допълнително</w:t>
            </w:r>
            <w:r w:rsidR="00EB6F5A">
              <w:rPr>
                <w:rFonts w:ascii="Times New Roman" w:hAnsi="Times New Roman"/>
                <w:sz w:val="20"/>
              </w:rPr>
              <w:t xml:space="preserve"> </w:t>
            </w:r>
            <w:r w:rsidRPr="002F4C0E">
              <w:rPr>
                <w:rFonts w:ascii="Times New Roman" w:hAnsi="Times New Roman"/>
                <w:sz w:val="20"/>
                <w:lang w:val="bg-BG"/>
              </w:rPr>
              <w:t xml:space="preserve">доброволно пенсионно осигуряване с месечна вноска над 50 евро и по-малка от 250 евро включително. </w:t>
            </w:r>
          </w:p>
          <w:p w14:paraId="67221494" w14:textId="77777777" w:rsidR="00552F1F" w:rsidRPr="002F4C0E" w:rsidRDefault="00552F1F" w:rsidP="00203A79">
            <w:pPr>
              <w:pStyle w:val="BodyTextIndent"/>
              <w:ind w:right="48" w:firstLine="0"/>
              <w:rPr>
                <w:rFonts w:ascii="Times New Roman" w:hAnsi="Times New Roman"/>
                <w:sz w:val="20"/>
                <w:lang w:val="bg-BG" w:eastAsia="bg-BG"/>
              </w:rPr>
            </w:pPr>
          </w:p>
          <w:p w14:paraId="217C6E99" w14:textId="77777777" w:rsidR="00552F1F" w:rsidRPr="002F4C0E" w:rsidRDefault="00552F1F" w:rsidP="00203A79">
            <w:pPr>
              <w:pStyle w:val="BodyTextIndent"/>
              <w:ind w:right="48" w:firstLine="0"/>
              <w:rPr>
                <w:rFonts w:ascii="Times New Roman" w:hAnsi="Times New Roman"/>
                <w:sz w:val="20"/>
                <w:lang w:val="bg-BG"/>
              </w:rPr>
            </w:pPr>
            <w:r w:rsidRPr="002F4C0E">
              <w:rPr>
                <w:rFonts w:ascii="Times New Roman" w:hAnsi="Times New Roman"/>
                <w:sz w:val="20"/>
                <w:lang w:val="bg-BG" w:eastAsia="bg-BG"/>
              </w:rPr>
              <w:t xml:space="preserve">в) </w:t>
            </w:r>
            <w:r w:rsidRPr="002F4C0E">
              <w:rPr>
                <w:rFonts w:ascii="Times New Roman" w:hAnsi="Times New Roman"/>
                <w:sz w:val="20"/>
                <w:lang w:val="bg-BG"/>
              </w:rPr>
              <w:t>3.00%- по индивидуален договор за допълнително доброволно пенсионно осигуряване с месечна вноска над 250 (двеста и петдесет) евро;</w:t>
            </w:r>
          </w:p>
          <w:p w14:paraId="3DABAE96" w14:textId="77777777" w:rsidR="00552F1F" w:rsidRPr="002F4C0E" w:rsidRDefault="00552F1F" w:rsidP="00203A79">
            <w:pPr>
              <w:pStyle w:val="BodyTextIndent"/>
              <w:ind w:right="48" w:firstLine="0"/>
              <w:rPr>
                <w:rFonts w:ascii="Times New Roman" w:hAnsi="Times New Roman"/>
                <w:bCs/>
                <w:sz w:val="20"/>
                <w:lang w:val="bg-BG" w:eastAsia="bg-BG"/>
              </w:rPr>
            </w:pPr>
            <w:r w:rsidRPr="002F4C0E">
              <w:rPr>
                <w:rFonts w:ascii="Times New Roman" w:hAnsi="Times New Roman"/>
                <w:sz w:val="20"/>
                <w:lang w:val="bg-BG" w:eastAsia="bg-BG"/>
              </w:rPr>
              <w:t xml:space="preserve">г) </w:t>
            </w:r>
            <w:r w:rsidRPr="002F4C0E">
              <w:rPr>
                <w:rFonts w:ascii="Times New Roman" w:hAnsi="Times New Roman"/>
                <w:bCs/>
                <w:sz w:val="20"/>
                <w:lang w:val="bg-BG" w:eastAsia="bg-BG"/>
              </w:rPr>
              <w:t>3.8%- по договор за допълнително доброволно пенсионно осигуряване за сметка на осигурител или друг осигурител при размер на месечната вноска за всеки осигурен до размера на данъчно признатия разход за допълнително доброволно пенсионно осигуряване по Закона за корпоративно подоходно облагане (ЗКПО).</w:t>
            </w:r>
            <w:r w:rsidRPr="002F4C0E">
              <w:rPr>
                <w:rFonts w:ascii="Times New Roman" w:hAnsi="Times New Roman"/>
                <w:sz w:val="20"/>
                <w:lang w:val="bg-BG" w:eastAsia="bg-BG"/>
              </w:rPr>
              <w:br/>
              <w:t xml:space="preserve">(д) </w:t>
            </w:r>
            <w:r w:rsidRPr="002F4C0E">
              <w:rPr>
                <w:rFonts w:ascii="Times New Roman" w:hAnsi="Times New Roman"/>
                <w:bCs/>
                <w:sz w:val="20"/>
                <w:lang w:val="bg-BG" w:eastAsia="bg-BG"/>
              </w:rPr>
              <w:t>3 %- по договор за допълнително доброволно пенсионно осигуряване за сметка на осигурител  или друг осигурител при размер на месечната вноска за всеки осигурен над размера на данъчно признатия разход за допълнително доброволно пенсионно осигуряване по Закона за корпоративно подоходно облагане (ЗКПО).</w:t>
            </w:r>
          </w:p>
          <w:p w14:paraId="7E558382" w14:textId="77777777" w:rsidR="00552F1F" w:rsidRPr="002F4C0E" w:rsidRDefault="00552F1F" w:rsidP="00203A79">
            <w:pPr>
              <w:pStyle w:val="BodyTextIndent"/>
              <w:ind w:right="48" w:firstLine="0"/>
              <w:rPr>
                <w:rFonts w:ascii="Times New Roman" w:hAnsi="Times New Roman"/>
                <w:bCs/>
                <w:sz w:val="20"/>
                <w:lang w:val="bg-BG" w:eastAsia="bg-BG"/>
              </w:rPr>
            </w:pPr>
            <w:r w:rsidRPr="002F4C0E">
              <w:rPr>
                <w:rFonts w:ascii="Times New Roman" w:hAnsi="Times New Roman"/>
                <w:bCs/>
                <w:sz w:val="20"/>
                <w:lang w:val="bg-BG" w:eastAsia="bg-BG"/>
              </w:rPr>
              <w:t>(е)</w:t>
            </w:r>
            <w:r w:rsidRPr="002F4C0E">
              <w:rPr>
                <w:rFonts w:ascii="Arial" w:hAnsi="Arial" w:cs="Arial"/>
                <w:bCs/>
                <w:sz w:val="20"/>
                <w:lang w:val="bg-BG"/>
              </w:rPr>
              <w:t xml:space="preserve"> </w:t>
            </w:r>
            <w:r w:rsidRPr="002F4C0E">
              <w:rPr>
                <w:rFonts w:ascii="Times New Roman" w:hAnsi="Times New Roman"/>
                <w:bCs/>
                <w:sz w:val="20"/>
                <w:lang w:val="bg-BG" w:eastAsia="bg-BG"/>
              </w:rPr>
              <w:t xml:space="preserve">Когато общият размер на месечната осигурителна вноска </w:t>
            </w:r>
            <w:bookmarkStart w:id="0" w:name="_Hlk210725333"/>
            <w:r w:rsidRPr="002F4C0E">
              <w:rPr>
                <w:rFonts w:ascii="Times New Roman" w:hAnsi="Times New Roman"/>
                <w:bCs/>
                <w:sz w:val="20"/>
                <w:lang w:val="bg-BG" w:eastAsia="bg-BG"/>
              </w:rPr>
              <w:t>по договор за допълнително доброволно пенсионно осигуряване за сметка на</w:t>
            </w:r>
            <w:bookmarkEnd w:id="0"/>
            <w:r w:rsidRPr="002F4C0E">
              <w:rPr>
                <w:rFonts w:ascii="Times New Roman" w:hAnsi="Times New Roman"/>
                <w:bCs/>
                <w:sz w:val="20"/>
                <w:lang w:val="bg-BG" w:eastAsia="bg-BG"/>
              </w:rPr>
              <w:t xml:space="preserve"> осигурител или друг осигурител е 25 000 евро и повече, удръжката се определя и изчислява съобразно броя на осигурените лица, както следва:</w:t>
            </w:r>
          </w:p>
          <w:p w14:paraId="31A31C52" w14:textId="77777777" w:rsidR="00552F1F" w:rsidRPr="002F4C0E" w:rsidRDefault="00552F1F" w:rsidP="00203A79">
            <w:pPr>
              <w:pStyle w:val="BodyTextIndent"/>
              <w:ind w:firstLine="0"/>
              <w:rPr>
                <w:rFonts w:ascii="Times New Roman" w:hAnsi="Times New Roman"/>
                <w:bCs/>
                <w:sz w:val="20"/>
                <w:lang w:val="bg-BG"/>
              </w:rPr>
            </w:pPr>
            <w:r w:rsidRPr="002F4C0E">
              <w:rPr>
                <w:rFonts w:ascii="Times New Roman" w:hAnsi="Times New Roman"/>
                <w:bCs/>
                <w:sz w:val="20"/>
                <w:lang w:val="bg-BG"/>
              </w:rPr>
              <w:t>1. До 2400 лица – 3%</w:t>
            </w:r>
          </w:p>
          <w:p w14:paraId="598246A3" w14:textId="77777777" w:rsidR="00552F1F" w:rsidRPr="002F4C0E" w:rsidRDefault="00552F1F" w:rsidP="00203A79">
            <w:pPr>
              <w:pStyle w:val="BodyTextIndent"/>
              <w:ind w:firstLine="0"/>
              <w:rPr>
                <w:rFonts w:ascii="Times New Roman" w:hAnsi="Times New Roman"/>
                <w:bCs/>
                <w:sz w:val="20"/>
                <w:lang w:val="bg-BG"/>
              </w:rPr>
            </w:pPr>
            <w:r w:rsidRPr="002F4C0E">
              <w:rPr>
                <w:rFonts w:ascii="Times New Roman" w:hAnsi="Times New Roman"/>
                <w:bCs/>
                <w:sz w:val="20"/>
                <w:lang w:val="bg-BG"/>
              </w:rPr>
              <w:t>2. Над 2400 лица – 2.1%</w:t>
            </w:r>
          </w:p>
          <w:p w14:paraId="75DCB4AD" w14:textId="77777777" w:rsidR="00552F1F" w:rsidRPr="002F4C0E" w:rsidRDefault="00552F1F" w:rsidP="00EE7109">
            <w:pPr>
              <w:pStyle w:val="BodyTextIndent"/>
              <w:ind w:right="0" w:firstLine="0"/>
              <w:rPr>
                <w:rFonts w:ascii="Times New Roman" w:hAnsi="Times New Roman"/>
                <w:bCs/>
                <w:sz w:val="20"/>
                <w:lang w:val="bg-BG"/>
              </w:rPr>
            </w:pPr>
            <w:r w:rsidRPr="002F4C0E">
              <w:rPr>
                <w:rFonts w:ascii="Times New Roman" w:hAnsi="Times New Roman"/>
                <w:bCs/>
                <w:sz w:val="20"/>
                <w:lang w:val="bg-BG"/>
              </w:rPr>
              <w:t>ж) за вноски с периодичност, различна от един месец, размерът на удръжката се определя, като вноската се преизчислява на месечна база, в зависимост от периода, за който тя се отнася.</w:t>
            </w:r>
          </w:p>
          <w:p w14:paraId="2F0C4C68" w14:textId="77777777" w:rsidR="00552F1F" w:rsidRPr="002F4C0E" w:rsidRDefault="00552F1F" w:rsidP="00203A79">
            <w:pPr>
              <w:pStyle w:val="BodyTextIndent"/>
              <w:ind w:right="48" w:firstLine="0"/>
              <w:rPr>
                <w:rFonts w:ascii="Times New Roman" w:hAnsi="Times New Roman"/>
                <w:bCs/>
                <w:sz w:val="20"/>
                <w:lang w:val="bg-BG"/>
              </w:rPr>
            </w:pPr>
            <w:r w:rsidRPr="002F4C0E">
              <w:rPr>
                <w:rFonts w:ascii="Times New Roman" w:hAnsi="Times New Roman"/>
                <w:bCs/>
                <w:sz w:val="20"/>
                <w:lang w:val="bg-BG"/>
              </w:rPr>
              <w:t>з) При индивидуален договор за допълнително доброволно пенсионно осигуряване (с лични вноски), както и в случаите на договор за допълнително пенсионно осигуряване от друг осигурител, когато натрупаната сума от вноски по партидата надхвърли 10 000 (десет хиляди) eвро, Дружеството намалява събираната такса по чл. 73.2 букви „а“-„ж“ от Правилника с 10%. (буква а-ж от настоящия документ)</w:t>
            </w:r>
          </w:p>
          <w:p w14:paraId="05DBF97E" w14:textId="77777777" w:rsidR="00552F1F" w:rsidRPr="002F4C0E" w:rsidRDefault="00552F1F" w:rsidP="00203A79">
            <w:pPr>
              <w:pStyle w:val="BodyTextIndent"/>
              <w:ind w:right="48" w:firstLine="0"/>
              <w:rPr>
                <w:rFonts w:ascii="Times New Roman" w:hAnsi="Times New Roman"/>
                <w:bCs/>
                <w:sz w:val="20"/>
                <w:lang w:val="bg-BG"/>
              </w:rPr>
            </w:pPr>
            <w:r w:rsidRPr="002F4C0E">
              <w:rPr>
                <w:rFonts w:ascii="Times New Roman" w:hAnsi="Times New Roman"/>
                <w:bCs/>
                <w:sz w:val="20"/>
                <w:lang w:val="bg-BG"/>
              </w:rPr>
              <w:t>к)   По отношение на лицата, осигурени в универсалния и/или професионалния пенсионен фонд, управляван от Дружеството, размерът на таксите по чл.73.2 от Правилника се намалява с 30% /тридесет процента/. Намалението по предходното изречение се прилага и за лица, които сключват индивидуален договор за допълнително доброволно осигуряване, и сa подали заявление за прехвърляне на средствата си от универсалния и/или професионалния пенсионен фонд, управляван от друго пенсионноосигурително дружество.</w:t>
            </w:r>
          </w:p>
          <w:p w14:paraId="62FF03BB" w14:textId="3A11BC30" w:rsidR="00552F1F" w:rsidRPr="002F4C0E" w:rsidRDefault="00552F1F" w:rsidP="00203A79">
            <w:pPr>
              <w:pStyle w:val="BodyTextIndent"/>
              <w:ind w:right="48" w:firstLine="0"/>
              <w:rPr>
                <w:rFonts w:ascii="Times New Roman" w:hAnsi="Times New Roman"/>
                <w:bCs/>
                <w:sz w:val="20"/>
                <w:lang w:val="bg-BG"/>
              </w:rPr>
            </w:pPr>
            <w:r w:rsidRPr="002F4C0E">
              <w:rPr>
                <w:rFonts w:ascii="Times New Roman" w:hAnsi="Times New Roman"/>
                <w:bCs/>
                <w:sz w:val="20"/>
                <w:lang w:val="bg-BG"/>
              </w:rPr>
              <w:t>л) При наличие на обстоятелствата по чл.73.2.1. и чл.73.2.2 от Правилника, отстъпката се акумулира, съгласно последователността на прилагането им.</w:t>
            </w:r>
          </w:p>
          <w:p w14:paraId="6C3EF62C" w14:textId="7DD2B36B" w:rsidR="00552F1F" w:rsidRPr="002F4C0E" w:rsidRDefault="00552F1F" w:rsidP="00203A79">
            <w:pPr>
              <w:pStyle w:val="BodyTextIndent"/>
              <w:ind w:right="48" w:firstLine="0"/>
              <w:rPr>
                <w:rFonts w:ascii="Times New Roman" w:hAnsi="Times New Roman"/>
                <w:bCs/>
                <w:sz w:val="20"/>
                <w:lang w:val="bg-BG"/>
              </w:rPr>
            </w:pPr>
            <w:r w:rsidRPr="002F4C0E">
              <w:rPr>
                <w:rFonts w:ascii="Times New Roman" w:hAnsi="Times New Roman"/>
                <w:bCs/>
                <w:sz w:val="20"/>
                <w:lang w:val="bg-BG"/>
              </w:rPr>
              <w:t>м)  Когато лицето има сключен договор за разсрочено плащане от ФРП-Бъдеще или договор за допълнителна пожизнена пенсия от ФИПП-Бъдеще и прехвърля част или цялото си пенсионно плащане в „ДПФ-Бъдеще“, дружеството събира такса в размер на 0,2% от преведената сума.</w:t>
            </w:r>
          </w:p>
          <w:p w14:paraId="498E3B30" w14:textId="77777777" w:rsidR="00552F1F" w:rsidRPr="002F4C0E" w:rsidRDefault="00552F1F" w:rsidP="00203A79">
            <w:pPr>
              <w:pStyle w:val="BodyTextIndent"/>
              <w:ind w:right="48" w:firstLine="0"/>
              <w:rPr>
                <w:rFonts w:ascii="Times New Roman" w:hAnsi="Times New Roman"/>
                <w:bCs/>
                <w:sz w:val="20"/>
                <w:lang w:val="bg-BG"/>
              </w:rPr>
            </w:pPr>
          </w:p>
          <w:p w14:paraId="58FB2D5C" w14:textId="77777777" w:rsidR="00552F1F" w:rsidRPr="002F4C0E" w:rsidRDefault="00552F1F" w:rsidP="00203A79">
            <w:pPr>
              <w:pStyle w:val="BodyTextIndent"/>
              <w:ind w:right="48" w:firstLine="0"/>
              <w:rPr>
                <w:rFonts w:ascii="Times New Roman" w:hAnsi="Times New Roman"/>
                <w:b/>
                <w:sz w:val="20"/>
                <w:lang w:val="bg-BG" w:eastAsia="bg-BG"/>
              </w:rPr>
            </w:pPr>
            <w:r w:rsidRPr="002F4C0E">
              <w:rPr>
                <w:rFonts w:ascii="Times New Roman" w:hAnsi="Times New Roman"/>
                <w:bCs/>
                <w:sz w:val="20"/>
                <w:lang w:val="bg-BG" w:eastAsia="bg-BG"/>
              </w:rPr>
              <w:t xml:space="preserve"> </w:t>
            </w:r>
            <w:r w:rsidRPr="002F4C0E">
              <w:rPr>
                <w:rFonts w:ascii="Times New Roman" w:hAnsi="Times New Roman"/>
                <w:b/>
                <w:sz w:val="20"/>
                <w:lang w:val="bg-BG" w:eastAsia="bg-BG"/>
              </w:rPr>
              <w:t>2.Удръжка като процент от всяка еднократна осигурителна вноска,  която се използва за администриране и управление на фонда в размер на:</w:t>
            </w:r>
          </w:p>
          <w:p w14:paraId="3707FB96" w14:textId="77777777" w:rsidR="00552F1F" w:rsidRPr="002F4C0E" w:rsidRDefault="00552F1F" w:rsidP="00203A79">
            <w:pPr>
              <w:pStyle w:val="BodyTextIndent"/>
              <w:ind w:right="0" w:firstLine="0"/>
              <w:rPr>
                <w:rFonts w:ascii="Times New Roman" w:hAnsi="Times New Roman"/>
                <w:sz w:val="20"/>
                <w:lang w:val="bg-BG"/>
              </w:rPr>
            </w:pPr>
            <w:r w:rsidRPr="002F4C0E">
              <w:rPr>
                <w:rFonts w:ascii="Times New Roman" w:hAnsi="Times New Roman"/>
                <w:sz w:val="20"/>
                <w:lang w:val="bg-BG"/>
              </w:rPr>
              <w:t xml:space="preserve"> а) 4.00%- по индивидуален договор за допълнително доброволно </w:t>
            </w:r>
            <w:r w:rsidRPr="002F4C0E">
              <w:rPr>
                <w:rFonts w:ascii="Times New Roman" w:hAnsi="Times New Roman"/>
                <w:sz w:val="20"/>
                <w:lang w:val="bg-BG"/>
              </w:rPr>
              <w:lastRenderedPageBreak/>
              <w:t xml:space="preserve">пенсионно осигуряване с еднократна вноска до 500 евро включително </w:t>
            </w:r>
          </w:p>
          <w:p w14:paraId="484B892D" w14:textId="77777777" w:rsidR="00552F1F" w:rsidRPr="002F4C0E" w:rsidRDefault="00552F1F" w:rsidP="00203A79">
            <w:pPr>
              <w:pStyle w:val="BodyTextIndent"/>
              <w:ind w:right="0" w:firstLine="0"/>
              <w:rPr>
                <w:rFonts w:ascii="Times New Roman" w:hAnsi="Times New Roman"/>
                <w:sz w:val="20"/>
                <w:lang w:val="bg-BG"/>
              </w:rPr>
            </w:pPr>
            <w:r w:rsidRPr="002F4C0E">
              <w:rPr>
                <w:rFonts w:ascii="Times New Roman" w:hAnsi="Times New Roman"/>
                <w:sz w:val="20"/>
                <w:lang w:val="bg-BG"/>
              </w:rPr>
              <w:t>б) 3.00%- по индивидуален договор за допълнително доброволно пенсионно осигуряване с еднократна вноска над 500 евро до 2500 евро включително;</w:t>
            </w:r>
          </w:p>
          <w:p w14:paraId="14DA5B77" w14:textId="77777777" w:rsidR="00552F1F" w:rsidRPr="002F4C0E" w:rsidRDefault="00552F1F" w:rsidP="00203A79">
            <w:pPr>
              <w:pStyle w:val="BodyTextIndent"/>
              <w:ind w:right="0" w:firstLine="0"/>
              <w:rPr>
                <w:rFonts w:ascii="Times New Roman" w:hAnsi="Times New Roman"/>
                <w:sz w:val="20"/>
                <w:lang w:val="bg-BG"/>
              </w:rPr>
            </w:pPr>
            <w:r w:rsidRPr="002F4C0E">
              <w:rPr>
                <w:rFonts w:ascii="Times New Roman" w:hAnsi="Times New Roman"/>
                <w:sz w:val="20"/>
                <w:lang w:val="bg-BG"/>
              </w:rPr>
              <w:t>в) 2.50%- по индивидуален договор за допълнително доброволно пенсионно осигуряване с еднократна вноска над 2500 евро;</w:t>
            </w:r>
          </w:p>
          <w:p w14:paraId="17F3AF16" w14:textId="77777777" w:rsidR="00552F1F" w:rsidRPr="002F4C0E" w:rsidRDefault="00552F1F" w:rsidP="00203A79">
            <w:pPr>
              <w:pStyle w:val="BodyTextIndent"/>
              <w:ind w:right="48" w:firstLine="0"/>
              <w:rPr>
                <w:rFonts w:ascii="Times New Roman" w:hAnsi="Times New Roman"/>
                <w:sz w:val="20"/>
                <w:lang w:val="bg-BG"/>
              </w:rPr>
            </w:pPr>
            <w:bookmarkStart w:id="1" w:name="_Hlk210387685"/>
            <w:r w:rsidRPr="002F4C0E">
              <w:rPr>
                <w:rFonts w:ascii="Times New Roman" w:hAnsi="Times New Roman"/>
                <w:sz w:val="20"/>
                <w:lang w:val="bg-BG"/>
              </w:rPr>
              <w:t>г.) По отношение на лицата, осигурени в универсалния и/или професионалния пенсионен фонд, управляван от Дружеството, размерът на таксите по чл.73.3, букви „а“-„в“ от Правилника се намалява с 30% /тридесет процента/. Намалението по предходното изречение се прилага и за лица, които сключват индивидуален договор за допълнително доброволно осигуряване, и сa подали заявление за прехвърляне на средствата си от универсалния и/или професионалния пенсионен фонд, управляван от друго пенсионноосигурително дружество.</w:t>
            </w:r>
          </w:p>
          <w:p w14:paraId="7A90A413" w14:textId="77777777" w:rsidR="00552F1F" w:rsidRPr="002F4C0E" w:rsidRDefault="00552F1F" w:rsidP="00203A79">
            <w:pPr>
              <w:pStyle w:val="BodyTextIndent"/>
              <w:ind w:right="48" w:firstLine="0"/>
              <w:rPr>
                <w:rFonts w:ascii="Times New Roman" w:hAnsi="Times New Roman"/>
                <w:sz w:val="20"/>
                <w:lang w:val="bg-BG"/>
              </w:rPr>
            </w:pPr>
            <w:r w:rsidRPr="002F4C0E">
              <w:rPr>
                <w:rFonts w:ascii="Times New Roman" w:hAnsi="Times New Roman"/>
                <w:sz w:val="20"/>
                <w:lang w:val="bg-BG"/>
              </w:rPr>
              <w:t>д) При индивидуален договор за допълнително доброволно пенсионно осигуряване (с лични вноски), както и в случаите на договор за допълнително доброволно пенсионно осигуряване за сметка на друг осигурител, при които вноската се извършва еднократно и размерът ѝ е 10 000 евро или повече, Дружеството събира 60% от размера на удръжките  по чл.73.3 от Правилника, при условие че договорът не е сключен чрез осигурителен посредник.</w:t>
            </w:r>
          </w:p>
          <w:p w14:paraId="19F358E0" w14:textId="77777777" w:rsidR="00552F1F" w:rsidRPr="002F4C0E" w:rsidRDefault="00552F1F" w:rsidP="00203A79">
            <w:pPr>
              <w:pStyle w:val="BodyTextIndent"/>
              <w:ind w:right="48" w:firstLine="0"/>
              <w:rPr>
                <w:rFonts w:ascii="Times New Roman" w:hAnsi="Times New Roman"/>
                <w:sz w:val="20"/>
              </w:rPr>
            </w:pPr>
            <w:r w:rsidRPr="002F4C0E">
              <w:rPr>
                <w:rFonts w:ascii="Times New Roman" w:hAnsi="Times New Roman"/>
                <w:sz w:val="20"/>
                <w:lang w:val="bg-BG"/>
              </w:rPr>
              <w:t>е) При наличие на обстоятелства по чл. 73.3.1 и чл.73.3.2 от Правилника се прилага отстъпката по чл.73.3.2. от Правилника.</w:t>
            </w:r>
            <w:bookmarkEnd w:id="1"/>
          </w:p>
        </w:tc>
      </w:tr>
      <w:tr w:rsidR="00552F1F" w:rsidRPr="002F4C0E" w14:paraId="7F7F6950" w14:textId="77777777" w:rsidTr="00203A79">
        <w:tc>
          <w:tcPr>
            <w:tcW w:w="268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D665778" w14:textId="77777777" w:rsidR="00552F1F" w:rsidRPr="002F4C0E" w:rsidRDefault="00552F1F" w:rsidP="00203A79">
            <w:pPr>
              <w:shd w:val="clear" w:color="auto" w:fill="FFFFFF"/>
              <w:rPr>
                <w:sz w:val="20"/>
                <w:szCs w:val="20"/>
              </w:rPr>
            </w:pPr>
            <w:r w:rsidRPr="002F4C0E">
              <w:rPr>
                <w:rFonts w:ascii="Times New Roman" w:hAnsi="Times New Roman"/>
                <w:color w:val="000000"/>
                <w:spacing w:val="-1"/>
                <w:sz w:val="20"/>
                <w:szCs w:val="20"/>
              </w:rPr>
              <w:lastRenderedPageBreak/>
              <w:t>Инвестиционна такса от дохода, реализиран от инвестирането на средствата</w:t>
            </w:r>
          </w:p>
        </w:tc>
        <w:tc>
          <w:tcPr>
            <w:tcW w:w="631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A364846" w14:textId="77777777" w:rsidR="00552F1F" w:rsidRPr="002F4C0E" w:rsidRDefault="00552F1F" w:rsidP="00203A79">
            <w:pPr>
              <w:shd w:val="clear" w:color="auto" w:fill="FFFFFF"/>
              <w:ind w:left="5"/>
              <w:rPr>
                <w:rFonts w:ascii="Times New Roman" w:hAnsi="Times New Roman"/>
                <w:sz w:val="20"/>
                <w:szCs w:val="20"/>
              </w:rPr>
            </w:pPr>
            <w:r w:rsidRPr="002F4C0E">
              <w:rPr>
                <w:rFonts w:ascii="Times New Roman" w:hAnsi="Times New Roman"/>
                <w:sz w:val="20"/>
                <w:szCs w:val="20"/>
              </w:rPr>
              <w:t xml:space="preserve">Инвестиционна такса в размер на </w:t>
            </w:r>
            <w:r w:rsidRPr="002F4C0E">
              <w:rPr>
                <w:rFonts w:ascii="Times New Roman" w:hAnsi="Times New Roman"/>
                <w:b/>
                <w:sz w:val="20"/>
                <w:szCs w:val="20"/>
              </w:rPr>
              <w:t>9.90</w:t>
            </w:r>
            <w:r w:rsidRPr="002F4C0E">
              <w:rPr>
                <w:rFonts w:ascii="Times New Roman" w:hAnsi="Times New Roman"/>
                <w:sz w:val="20"/>
                <w:szCs w:val="20"/>
              </w:rPr>
              <w:t xml:space="preserve"> % от дохода, реализиран при инвестиране на средствата на ФОНДА.</w:t>
            </w:r>
          </w:p>
        </w:tc>
      </w:tr>
      <w:tr w:rsidR="00552F1F" w:rsidRPr="002F4C0E" w14:paraId="36A14181" w14:textId="77777777" w:rsidTr="00203A79">
        <w:tc>
          <w:tcPr>
            <w:tcW w:w="268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5F811A1" w14:textId="77777777" w:rsidR="00552F1F" w:rsidRPr="002F4C0E" w:rsidRDefault="00552F1F" w:rsidP="00203A79">
            <w:pPr>
              <w:shd w:val="clear" w:color="auto" w:fill="FFFFFF"/>
              <w:spacing w:line="230" w:lineRule="exact"/>
              <w:ind w:right="163"/>
              <w:rPr>
                <w:sz w:val="20"/>
                <w:szCs w:val="20"/>
              </w:rPr>
            </w:pPr>
            <w:r w:rsidRPr="002F4C0E">
              <w:rPr>
                <w:rFonts w:ascii="Times New Roman" w:hAnsi="Times New Roman"/>
                <w:color w:val="000000"/>
                <w:spacing w:val="-1"/>
                <w:sz w:val="20"/>
                <w:szCs w:val="20"/>
              </w:rPr>
              <w:t xml:space="preserve">Такса при пълно или частично изтегляне на средствата от индивидуалната партида </w:t>
            </w:r>
            <w:r w:rsidRPr="002F4C0E">
              <w:rPr>
                <w:rFonts w:ascii="Times New Roman" w:hAnsi="Times New Roman"/>
                <w:color w:val="000000"/>
                <w:sz w:val="20"/>
                <w:szCs w:val="20"/>
              </w:rPr>
              <w:t>преди придобиване на право на пенсия за старост или инвалидност</w:t>
            </w:r>
          </w:p>
        </w:tc>
        <w:tc>
          <w:tcPr>
            <w:tcW w:w="631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8C93929" w14:textId="77777777" w:rsidR="00552F1F" w:rsidRPr="002F4C0E" w:rsidRDefault="00552F1F" w:rsidP="00203A79">
            <w:pPr>
              <w:shd w:val="clear" w:color="auto" w:fill="FFFFFF"/>
              <w:ind w:left="5"/>
              <w:rPr>
                <w:rFonts w:ascii="Times New Roman" w:hAnsi="Times New Roman"/>
                <w:color w:val="000000"/>
                <w:sz w:val="20"/>
                <w:szCs w:val="20"/>
              </w:rPr>
            </w:pPr>
            <w:r w:rsidRPr="002F4C0E">
              <w:rPr>
                <w:rFonts w:ascii="Times New Roman" w:hAnsi="Times New Roman"/>
                <w:color w:val="000000"/>
                <w:sz w:val="20"/>
                <w:szCs w:val="20"/>
              </w:rPr>
              <w:t xml:space="preserve">Такса в размер на </w:t>
            </w:r>
            <w:r w:rsidRPr="002F4C0E">
              <w:rPr>
                <w:rFonts w:ascii="Times New Roman" w:hAnsi="Times New Roman"/>
                <w:bCs/>
                <w:color w:val="000000"/>
                <w:sz w:val="20"/>
                <w:szCs w:val="20"/>
              </w:rPr>
              <w:t>2 %</w:t>
            </w:r>
            <w:r w:rsidRPr="002F4C0E">
              <w:rPr>
                <w:rFonts w:ascii="Times New Roman" w:hAnsi="Times New Roman"/>
                <w:color w:val="000000"/>
                <w:sz w:val="20"/>
                <w:szCs w:val="20"/>
              </w:rPr>
              <w:t xml:space="preserve">, но не повече от </w:t>
            </w:r>
            <w:r w:rsidRPr="002F4C0E">
              <w:rPr>
                <w:rFonts w:ascii="Times New Roman" w:hAnsi="Times New Roman"/>
                <w:b/>
                <w:color w:val="000000"/>
                <w:sz w:val="20"/>
                <w:szCs w:val="20"/>
              </w:rPr>
              <w:t>10.00</w:t>
            </w:r>
            <w:r w:rsidRPr="002F4C0E">
              <w:rPr>
                <w:rFonts w:ascii="Times New Roman" w:hAnsi="Times New Roman"/>
                <w:color w:val="000000"/>
                <w:sz w:val="20"/>
                <w:szCs w:val="20"/>
              </w:rPr>
              <w:t xml:space="preserve"> евро при всяко изтегляне /изцяло или частично/ на натрупаните средства по индивидуалната осигурителна партида преди придобиване на право на лична пенсия за старост или за инвалидност. Такса не се заплаща:</w:t>
            </w:r>
          </w:p>
          <w:p w14:paraId="4AA2B468" w14:textId="77777777" w:rsidR="00552F1F" w:rsidRPr="002F4C0E" w:rsidRDefault="00552F1F" w:rsidP="00EE7109">
            <w:pPr>
              <w:numPr>
                <w:ilvl w:val="0"/>
                <w:numId w:val="5"/>
              </w:numPr>
              <w:shd w:val="clear" w:color="auto" w:fill="FFFFFF"/>
              <w:suppressAutoHyphens/>
              <w:autoSpaceDN w:val="0"/>
              <w:spacing w:after="0" w:line="257" w:lineRule="auto"/>
              <w:ind w:left="431" w:hanging="284"/>
              <w:rPr>
                <w:rFonts w:ascii="Times New Roman" w:hAnsi="Times New Roman"/>
                <w:color w:val="000000"/>
                <w:sz w:val="20"/>
                <w:szCs w:val="20"/>
              </w:rPr>
            </w:pPr>
            <w:r w:rsidRPr="002F4C0E">
              <w:rPr>
                <w:rFonts w:ascii="Times New Roman" w:hAnsi="Times New Roman"/>
                <w:color w:val="000000"/>
                <w:sz w:val="20"/>
                <w:szCs w:val="20"/>
              </w:rPr>
              <w:t>При прехвърляне или изтегляне на средства поради несъгласие с изменения на Правилника на ФОНДА.</w:t>
            </w:r>
          </w:p>
          <w:p w14:paraId="5EEFE3CE" w14:textId="77777777" w:rsidR="00552F1F" w:rsidRPr="002F4C0E" w:rsidRDefault="00552F1F" w:rsidP="00EE7109">
            <w:pPr>
              <w:numPr>
                <w:ilvl w:val="0"/>
                <w:numId w:val="5"/>
              </w:numPr>
              <w:shd w:val="clear" w:color="auto" w:fill="FFFFFF"/>
              <w:suppressAutoHyphens/>
              <w:autoSpaceDN w:val="0"/>
              <w:spacing w:after="0" w:line="257" w:lineRule="auto"/>
              <w:ind w:left="431" w:hanging="284"/>
              <w:rPr>
                <w:rFonts w:ascii="Times New Roman" w:hAnsi="Times New Roman"/>
                <w:color w:val="000000"/>
                <w:sz w:val="20"/>
                <w:szCs w:val="20"/>
              </w:rPr>
            </w:pPr>
            <w:r w:rsidRPr="002F4C0E">
              <w:rPr>
                <w:rFonts w:ascii="Times New Roman" w:hAnsi="Times New Roman"/>
                <w:color w:val="000000"/>
                <w:sz w:val="20"/>
                <w:szCs w:val="20"/>
              </w:rPr>
              <w:t>При преобразуване или прекратяване на Дружеството или на ФОНДА.</w:t>
            </w:r>
          </w:p>
          <w:p w14:paraId="34033080" w14:textId="77777777" w:rsidR="00552F1F" w:rsidRPr="002F4C0E" w:rsidRDefault="00552F1F" w:rsidP="00EE7109">
            <w:pPr>
              <w:pStyle w:val="ListParagraph"/>
              <w:numPr>
                <w:ilvl w:val="0"/>
                <w:numId w:val="5"/>
              </w:numPr>
              <w:shd w:val="clear" w:color="auto" w:fill="FFFFFF"/>
              <w:autoSpaceDN w:val="0"/>
              <w:spacing w:line="256" w:lineRule="auto"/>
              <w:ind w:left="431" w:hanging="284"/>
              <w:contextualSpacing/>
              <w:rPr>
                <w:rFonts w:ascii="Times New Roman" w:hAnsi="Times New Roman"/>
                <w:sz w:val="20"/>
                <w:szCs w:val="20"/>
              </w:rPr>
            </w:pPr>
            <w:r w:rsidRPr="002F4C0E">
              <w:rPr>
                <w:rFonts w:ascii="Times New Roman" w:hAnsi="Times New Roman"/>
                <w:color w:val="000000"/>
                <w:sz w:val="20"/>
                <w:szCs w:val="20"/>
              </w:rPr>
              <w:t>От наследниците на починало осигурено лице или пенсионер.</w:t>
            </w:r>
          </w:p>
          <w:p w14:paraId="79687018" w14:textId="77777777" w:rsidR="00552F1F" w:rsidRPr="002F4C0E" w:rsidRDefault="00552F1F" w:rsidP="00EE7109">
            <w:pPr>
              <w:pStyle w:val="ListParagraph"/>
              <w:numPr>
                <w:ilvl w:val="0"/>
                <w:numId w:val="5"/>
              </w:numPr>
              <w:shd w:val="clear" w:color="auto" w:fill="FFFFFF"/>
              <w:autoSpaceDN w:val="0"/>
              <w:spacing w:line="256" w:lineRule="auto"/>
              <w:ind w:left="431" w:hanging="284"/>
              <w:contextualSpacing/>
              <w:rPr>
                <w:rFonts w:ascii="Times New Roman" w:hAnsi="Times New Roman"/>
                <w:sz w:val="20"/>
                <w:szCs w:val="20"/>
              </w:rPr>
            </w:pPr>
            <w:r w:rsidRPr="002F4C0E">
              <w:rPr>
                <w:rFonts w:ascii="Times New Roman" w:hAnsi="Times New Roman"/>
                <w:sz w:val="20"/>
                <w:szCs w:val="20"/>
              </w:rPr>
              <w:t>От лицата, придобили право на лична пенсия за старост или инвалидност.</w:t>
            </w:r>
          </w:p>
        </w:tc>
      </w:tr>
    </w:tbl>
    <w:p w14:paraId="02FDDDE9" w14:textId="77777777" w:rsidR="00552F1F" w:rsidRDefault="00552F1F">
      <w:pPr>
        <w:pStyle w:val="LO-Normal"/>
        <w:widowControl w:val="0"/>
        <w:autoSpaceDE w:val="0"/>
        <w:spacing w:after="0" w:line="240" w:lineRule="auto"/>
        <w:ind w:firstLine="480"/>
        <w:jc w:val="both"/>
        <w:rPr>
          <w:rFonts w:ascii="Times New Roman" w:hAnsi="Times New Roman"/>
          <w:sz w:val="24"/>
          <w:szCs w:val="24"/>
        </w:rPr>
      </w:pPr>
    </w:p>
    <w:p w14:paraId="13286517" w14:textId="77777777" w:rsidR="00552F1F" w:rsidRDefault="00552F1F">
      <w:pPr>
        <w:pStyle w:val="LO-Normal"/>
        <w:widowControl w:val="0"/>
        <w:autoSpaceDE w:val="0"/>
        <w:spacing w:after="0" w:line="240" w:lineRule="auto"/>
        <w:ind w:firstLine="480"/>
        <w:jc w:val="both"/>
        <w:rPr>
          <w:rFonts w:ascii="Times New Roman" w:hAnsi="Times New Roman"/>
          <w:sz w:val="24"/>
          <w:szCs w:val="24"/>
        </w:rPr>
      </w:pPr>
    </w:p>
    <w:p w14:paraId="0DC1EC58" w14:textId="06234C0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4. Гаранции</w:t>
      </w:r>
    </w:p>
    <w:p w14:paraId="639496C0"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Следва да имате предвид, че при осигуряването във фонд за доброволно пенсионно осигуряване на осигурените лица не се гарантира положителна доходност и запазване в пълен размер на внесените по индивидуалните партиди  средства.</w:t>
      </w:r>
    </w:p>
    <w:p w14:paraId="56683916" w14:textId="77777777" w:rsidR="00464A6E" w:rsidRDefault="00464A6E">
      <w:pPr>
        <w:pStyle w:val="LO-Normal"/>
        <w:widowControl w:val="0"/>
        <w:autoSpaceDE w:val="0"/>
        <w:spacing w:after="0" w:line="240" w:lineRule="auto"/>
        <w:ind w:firstLine="480"/>
        <w:jc w:val="both"/>
        <w:rPr>
          <w:rFonts w:ascii="Times New Roman" w:hAnsi="Times New Roman"/>
          <w:b/>
          <w:bCs/>
          <w:sz w:val="24"/>
          <w:szCs w:val="24"/>
        </w:rPr>
      </w:pPr>
    </w:p>
    <w:p w14:paraId="7762EC10" w14:textId="77777777" w:rsidR="00464A6E" w:rsidRDefault="00921D5D">
      <w:pPr>
        <w:pStyle w:val="LO-Normal"/>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 xml:space="preserve">III. Общи указания за осигуреното в ДПФ лице </w:t>
      </w:r>
    </w:p>
    <w:p w14:paraId="2907114F"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1. Следете състоянието на индивидуалната си партида. ПОД е длъжно всяка година до 31 май да Ви изпраща извлечение от нея. Извлечението съдържа информация за натрупаните средства по партидата Ви към края на предходната година, постъпилите вноски, постигнатата доходност, извършените плащания и начислените такси и удръжки. Дружеството е длъжно да Ви предостави тази информация и при поискване. Справка за състоянието на индивидуалната партида може да направите и на интернет страницата на дружеството, като е необходимо предварително да Ви бъде издаден идентификатор.</w:t>
      </w:r>
    </w:p>
    <w:p w14:paraId="3630F866" w14:textId="0C778A93" w:rsidR="00464A6E" w:rsidRDefault="00921D5D" w:rsidP="00552F1F">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2. Уведомявайте ПОД при всяка промяна в личните Ви данни, записани в осигурителния договор, като е необходимо да приложите и копия от документите,</w:t>
      </w:r>
      <w:r w:rsidR="00552F1F">
        <w:rPr>
          <w:rFonts w:ascii="Times New Roman" w:hAnsi="Times New Roman"/>
          <w:sz w:val="24"/>
          <w:szCs w:val="24"/>
        </w:rPr>
        <w:t xml:space="preserve"> </w:t>
      </w:r>
      <w:r>
        <w:rPr>
          <w:rFonts w:ascii="Times New Roman" w:hAnsi="Times New Roman"/>
          <w:sz w:val="24"/>
          <w:szCs w:val="24"/>
        </w:rPr>
        <w:lastRenderedPageBreak/>
        <w:t>удостоверяващи това обстоятелство. Така ще бъдат защитени Вашите интереси.</w:t>
      </w:r>
    </w:p>
    <w:p w14:paraId="0FB62877"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3. Информирайте се как се управляват Вашите средства. Дружеството ежедневно оповестява във всеки свой офис и на страницата си в интернет стойността на един дял на пенсионния фонд. То обявява стойността на един дял за последния работен ден на всеки месец и в един централен ежедневник на третия работен ден на следващия месец.</w:t>
      </w:r>
    </w:p>
    <w:p w14:paraId="5A3B14AD" w14:textId="77777777" w:rsidR="00464A6E" w:rsidRDefault="00464A6E">
      <w:pPr>
        <w:pStyle w:val="LO-Normal"/>
        <w:widowControl w:val="0"/>
        <w:autoSpaceDE w:val="0"/>
        <w:spacing w:after="0" w:line="240" w:lineRule="auto"/>
        <w:ind w:firstLine="480"/>
        <w:jc w:val="both"/>
      </w:pPr>
    </w:p>
    <w:tbl>
      <w:tblPr>
        <w:tblW w:w="9750" w:type="dxa"/>
        <w:tblInd w:w="45" w:type="dxa"/>
        <w:tblCellMar>
          <w:top w:w="15" w:type="dxa"/>
          <w:left w:w="15" w:type="dxa"/>
          <w:bottom w:w="15" w:type="dxa"/>
          <w:right w:w="15" w:type="dxa"/>
        </w:tblCellMar>
        <w:tblLook w:val="0000" w:firstRow="0" w:lastRow="0" w:firstColumn="0" w:lastColumn="0" w:noHBand="0" w:noVBand="0"/>
      </w:tblPr>
      <w:tblGrid>
        <w:gridCol w:w="9700"/>
        <w:gridCol w:w="50"/>
      </w:tblGrid>
      <w:tr w:rsidR="00464A6E" w14:paraId="30EF7254" w14:textId="77777777">
        <w:tc>
          <w:tcPr>
            <w:tcW w:w="9700" w:type="dxa"/>
            <w:vAlign w:val="center"/>
          </w:tcPr>
          <w:tbl>
            <w:tblPr>
              <w:tblW w:w="8929" w:type="dxa"/>
              <w:tblBorders>
                <w:top w:val="single" w:sz="6" w:space="0" w:color="A0A0A0"/>
                <w:left w:val="single" w:sz="6" w:space="0" w:color="A0A0A0"/>
                <w:bottom w:val="single" w:sz="6" w:space="0" w:color="F0F0F0"/>
                <w:right w:val="single" w:sz="6" w:space="0" w:color="F0F0F0"/>
                <w:insideH w:val="single" w:sz="6" w:space="0" w:color="F0F0F0"/>
                <w:insideV w:val="single" w:sz="6" w:space="0" w:color="F0F0F0"/>
              </w:tblBorders>
              <w:tblCellMar>
                <w:left w:w="0" w:type="dxa"/>
                <w:right w:w="0" w:type="dxa"/>
              </w:tblCellMar>
              <w:tblLook w:val="0000" w:firstRow="0" w:lastRow="0" w:firstColumn="0" w:lastColumn="0" w:noHBand="0" w:noVBand="0"/>
            </w:tblPr>
            <w:tblGrid>
              <w:gridCol w:w="8929"/>
            </w:tblGrid>
            <w:tr w:rsidR="00464A6E" w14:paraId="4871918B" w14:textId="77777777">
              <w:trPr>
                <w:trHeight w:val="1396"/>
              </w:trPr>
              <w:tc>
                <w:tcPr>
                  <w:tcW w:w="8929" w:type="dxa"/>
                  <w:tcBorders>
                    <w:top w:val="single" w:sz="6" w:space="0" w:color="A0A0A0"/>
                    <w:left w:val="single" w:sz="6" w:space="0" w:color="A0A0A0"/>
                    <w:bottom w:val="single" w:sz="6" w:space="0" w:color="F0F0F0"/>
                    <w:right w:val="single" w:sz="6" w:space="0" w:color="F0F0F0"/>
                  </w:tcBorders>
                  <w:vAlign w:val="center"/>
                </w:tcPr>
                <w:p w14:paraId="27951A93" w14:textId="77777777" w:rsidR="00464A6E" w:rsidRDefault="00464A6E">
                  <w:pPr>
                    <w:pStyle w:val="LO-Normal"/>
                    <w:widowControl w:val="0"/>
                    <w:autoSpaceDE w:val="0"/>
                    <w:spacing w:after="0" w:line="240" w:lineRule="auto"/>
                    <w:ind w:firstLine="480"/>
                    <w:jc w:val="both"/>
                    <w:rPr>
                      <w:rFonts w:ascii="Times New Roman" w:hAnsi="Times New Roman"/>
                      <w:sz w:val="24"/>
                      <w:szCs w:val="24"/>
                    </w:rPr>
                  </w:pPr>
                </w:p>
                <w:p w14:paraId="1E293832"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Вие можете да получите допълнителна информация за дейността на ПОД: </w:t>
                  </w:r>
                </w:p>
                <w:p w14:paraId="2E5D91E2" w14:textId="45047AD7" w:rsidR="00464A6E" w:rsidRDefault="00552F1F">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 </w:t>
                  </w:r>
                  <w:r w:rsidR="00921D5D">
                    <w:rPr>
                      <w:rFonts w:ascii="Times New Roman" w:hAnsi="Times New Roman"/>
                      <w:sz w:val="24"/>
                      <w:szCs w:val="24"/>
                    </w:rPr>
                    <w:t>– на тел. 0700 14 250;</w:t>
                  </w:r>
                </w:p>
                <w:p w14:paraId="56B25C06"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 – www. Budeshte.bg;</w:t>
                  </w:r>
                </w:p>
                <w:p w14:paraId="1381329E"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 – от неговите осигурителни посредници и служители;</w:t>
                  </w:r>
                </w:p>
                <w:p w14:paraId="5E7F821B"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 – от Комисията за финансов надзор (www.fsc.bg). </w:t>
                  </w:r>
                </w:p>
                <w:p w14:paraId="5CAF342D"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Вие можете да се запознаете с документите с основна информация за осигурените лица на останалите пенсионноосигурителни дружества на техните интернет страници.</w:t>
                  </w:r>
                </w:p>
              </w:tc>
            </w:tr>
          </w:tbl>
          <w:p w14:paraId="47E94A40" w14:textId="77777777" w:rsidR="00464A6E" w:rsidRDefault="00464A6E">
            <w:pPr>
              <w:pStyle w:val="LO-Normal"/>
              <w:widowControl w:val="0"/>
              <w:autoSpaceDE w:val="0"/>
              <w:spacing w:after="0" w:line="240" w:lineRule="auto"/>
              <w:ind w:firstLine="480"/>
              <w:jc w:val="both"/>
              <w:rPr>
                <w:rFonts w:ascii="Times New Roman" w:hAnsi="Times New Roman"/>
                <w:sz w:val="24"/>
                <w:szCs w:val="24"/>
                <w:highlight w:val="yellow"/>
              </w:rPr>
            </w:pPr>
          </w:p>
        </w:tc>
        <w:tc>
          <w:tcPr>
            <w:tcW w:w="50" w:type="dxa"/>
            <w:tcMar>
              <w:top w:w="0" w:type="dxa"/>
              <w:left w:w="10" w:type="dxa"/>
              <w:bottom w:w="0" w:type="dxa"/>
              <w:right w:w="10" w:type="dxa"/>
            </w:tcMar>
          </w:tcPr>
          <w:p w14:paraId="5BD26166" w14:textId="77777777" w:rsidR="00464A6E" w:rsidRDefault="00464A6E">
            <w:pPr>
              <w:pStyle w:val="LO-Normal"/>
              <w:widowControl w:val="0"/>
              <w:autoSpaceDE w:val="0"/>
              <w:spacing w:after="0" w:line="240" w:lineRule="auto"/>
              <w:ind w:firstLine="480"/>
              <w:jc w:val="both"/>
              <w:rPr>
                <w:rFonts w:ascii="Times New Roman" w:hAnsi="Times New Roman"/>
                <w:sz w:val="24"/>
                <w:szCs w:val="24"/>
                <w:highlight w:val="yellow"/>
              </w:rPr>
            </w:pPr>
          </w:p>
        </w:tc>
      </w:tr>
      <w:tr w:rsidR="00464A6E" w14:paraId="6BC95508" w14:textId="77777777">
        <w:tc>
          <w:tcPr>
            <w:tcW w:w="9700" w:type="dxa"/>
            <w:vAlign w:val="center"/>
          </w:tcPr>
          <w:tbl>
            <w:tblPr>
              <w:tblW w:w="8959" w:type="dxa"/>
              <w:tblBorders>
                <w:top w:val="single" w:sz="6" w:space="0" w:color="A0A0A0"/>
                <w:left w:val="single" w:sz="6" w:space="0" w:color="A0A0A0"/>
                <w:bottom w:val="single" w:sz="6" w:space="0" w:color="F0F0F0"/>
                <w:right w:val="single" w:sz="6" w:space="0" w:color="F0F0F0"/>
                <w:insideH w:val="single" w:sz="6" w:space="0" w:color="F0F0F0"/>
                <w:insideV w:val="single" w:sz="6" w:space="0" w:color="F0F0F0"/>
              </w:tblBorders>
              <w:tblCellMar>
                <w:left w:w="0" w:type="dxa"/>
                <w:right w:w="0" w:type="dxa"/>
              </w:tblCellMar>
              <w:tblLook w:val="0000" w:firstRow="0" w:lastRow="0" w:firstColumn="0" w:lastColumn="0" w:noHBand="0" w:noVBand="0"/>
            </w:tblPr>
            <w:tblGrid>
              <w:gridCol w:w="8959"/>
            </w:tblGrid>
            <w:tr w:rsidR="00464A6E" w14:paraId="776837FB" w14:textId="77777777">
              <w:trPr>
                <w:trHeight w:val="1235"/>
              </w:trPr>
              <w:tc>
                <w:tcPr>
                  <w:tcW w:w="8959" w:type="dxa"/>
                  <w:tcBorders>
                    <w:top w:val="single" w:sz="6" w:space="0" w:color="A0A0A0"/>
                    <w:left w:val="single" w:sz="6" w:space="0" w:color="A0A0A0"/>
                    <w:bottom w:val="single" w:sz="6" w:space="0" w:color="F0F0F0"/>
                    <w:right w:val="single" w:sz="6" w:space="0" w:color="F0F0F0"/>
                  </w:tcBorders>
                  <w:vAlign w:val="center"/>
                </w:tcPr>
                <w:p w14:paraId="6D01C60C" w14:textId="77777777" w:rsidR="00464A6E" w:rsidRDefault="00464A6E">
                  <w:pPr>
                    <w:pStyle w:val="LO-Normal"/>
                    <w:widowControl w:val="0"/>
                    <w:autoSpaceDE w:val="0"/>
                    <w:spacing w:after="0" w:line="240" w:lineRule="auto"/>
                    <w:ind w:firstLine="480"/>
                    <w:jc w:val="both"/>
                    <w:rPr>
                      <w:rFonts w:ascii="Times New Roman" w:hAnsi="Times New Roman"/>
                      <w:sz w:val="24"/>
                      <w:szCs w:val="24"/>
                      <w:highlight w:val="yellow"/>
                    </w:rPr>
                  </w:pPr>
                </w:p>
                <w:p w14:paraId="7817A9C6"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В случай че считате, че Вашите права са нарушени, Вие можете да отнесете въпроса по Ваш избор до:</w:t>
                  </w:r>
                </w:p>
                <w:p w14:paraId="3ED91507"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 – „ПОД – Бъдеще“ АД;</w:t>
                  </w:r>
                </w:p>
                <w:p w14:paraId="48977CC1" w14:textId="33259CFE" w:rsidR="00464A6E" w:rsidRDefault="00552F1F">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 </w:t>
                  </w:r>
                  <w:r w:rsidR="00921D5D">
                    <w:rPr>
                      <w:rFonts w:ascii="Times New Roman" w:hAnsi="Times New Roman"/>
                      <w:sz w:val="24"/>
                      <w:szCs w:val="24"/>
                    </w:rPr>
                    <w:t>– секторната помирителна комисия или медиатор към Комисията за защита на потребителите (за да сезирате секторната помирителна комисия, е необходимо да сте се обърнали по същия въпрос първо към пенсионноосигурителното дружество);</w:t>
                  </w:r>
                </w:p>
                <w:p w14:paraId="7699D5B2" w14:textId="77777777" w:rsidR="00464A6E" w:rsidRDefault="00921D5D">
                  <w:pPr>
                    <w:pStyle w:val="LO-Normal"/>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 – Комисията за финансов надзор;</w:t>
                  </w:r>
                </w:p>
                <w:p w14:paraId="06A808DA" w14:textId="77777777" w:rsidR="00464A6E" w:rsidRDefault="00921D5D">
                  <w:pPr>
                    <w:pStyle w:val="LO-Normal"/>
                    <w:widowControl w:val="0"/>
                    <w:autoSpaceDE w:val="0"/>
                    <w:spacing w:after="0" w:line="240" w:lineRule="auto"/>
                    <w:ind w:firstLine="480"/>
                    <w:jc w:val="both"/>
                  </w:pPr>
                  <w:r>
                    <w:rPr>
                      <w:rFonts w:ascii="Times New Roman" w:hAnsi="Times New Roman"/>
                      <w:sz w:val="24"/>
                      <w:szCs w:val="24"/>
                    </w:rPr>
                    <w:t xml:space="preserve"> – съда.</w:t>
                  </w:r>
                </w:p>
              </w:tc>
            </w:tr>
          </w:tbl>
          <w:p w14:paraId="74389F80" w14:textId="77777777" w:rsidR="00464A6E" w:rsidRDefault="00464A6E">
            <w:pPr>
              <w:pStyle w:val="LO-Normal"/>
              <w:widowControl w:val="0"/>
              <w:autoSpaceDE w:val="0"/>
              <w:spacing w:after="0" w:line="240" w:lineRule="auto"/>
              <w:ind w:firstLine="480"/>
              <w:jc w:val="both"/>
              <w:rPr>
                <w:rFonts w:ascii="Times New Roman" w:hAnsi="Times New Roman"/>
                <w:sz w:val="24"/>
                <w:szCs w:val="24"/>
                <w:highlight w:val="yellow"/>
              </w:rPr>
            </w:pPr>
          </w:p>
        </w:tc>
        <w:tc>
          <w:tcPr>
            <w:tcW w:w="50" w:type="dxa"/>
            <w:tcMar>
              <w:top w:w="0" w:type="dxa"/>
              <w:left w:w="10" w:type="dxa"/>
              <w:bottom w:w="0" w:type="dxa"/>
              <w:right w:w="10" w:type="dxa"/>
            </w:tcMar>
          </w:tcPr>
          <w:p w14:paraId="3B4BF380" w14:textId="77777777" w:rsidR="00464A6E" w:rsidRDefault="00464A6E">
            <w:pPr>
              <w:pStyle w:val="LO-Normal"/>
              <w:widowControl w:val="0"/>
              <w:autoSpaceDE w:val="0"/>
              <w:spacing w:after="0" w:line="240" w:lineRule="auto"/>
              <w:ind w:firstLine="480"/>
              <w:jc w:val="both"/>
              <w:rPr>
                <w:rFonts w:ascii="Times New Roman" w:hAnsi="Times New Roman"/>
                <w:sz w:val="24"/>
                <w:szCs w:val="24"/>
                <w:highlight w:val="yellow"/>
              </w:rPr>
            </w:pPr>
          </w:p>
        </w:tc>
      </w:tr>
      <w:tr w:rsidR="00464A6E" w14:paraId="44E36483" w14:textId="77777777">
        <w:tc>
          <w:tcPr>
            <w:tcW w:w="9750" w:type="dxa"/>
            <w:gridSpan w:val="2"/>
            <w:vAlign w:val="center"/>
          </w:tcPr>
          <w:tbl>
            <w:tblPr>
              <w:tblW w:w="9061" w:type="dxa"/>
              <w:tblBorders>
                <w:top w:val="single" w:sz="4" w:space="0" w:color="auto"/>
                <w:left w:val="single" w:sz="4" w:space="0" w:color="auto"/>
                <w:bottom w:val="single" w:sz="4" w:space="0" w:color="auto"/>
                <w:right w:val="single" w:sz="4" w:space="0" w:color="auto"/>
                <w:insideH w:val="single" w:sz="6" w:space="0" w:color="A0A0A0"/>
                <w:insideV w:val="single" w:sz="6" w:space="0" w:color="A0A0A0"/>
              </w:tblBorders>
              <w:tblCellMar>
                <w:left w:w="0" w:type="dxa"/>
                <w:right w:w="0" w:type="dxa"/>
              </w:tblCellMar>
              <w:tblLook w:val="0000" w:firstRow="0" w:lastRow="0" w:firstColumn="0" w:lastColumn="0" w:noHBand="0" w:noVBand="0"/>
            </w:tblPr>
            <w:tblGrid>
              <w:gridCol w:w="4834"/>
              <w:gridCol w:w="4227"/>
            </w:tblGrid>
            <w:tr w:rsidR="00464A6E" w14:paraId="0614C9D9" w14:textId="77777777" w:rsidTr="002F6E72">
              <w:trPr>
                <w:trHeight w:val="1348"/>
              </w:trPr>
              <w:tc>
                <w:tcPr>
                  <w:tcW w:w="4834" w:type="dxa"/>
                  <w:vAlign w:val="center"/>
                </w:tcPr>
                <w:p w14:paraId="38478306" w14:textId="77777777" w:rsidR="00464A6E" w:rsidRDefault="00921D5D">
                  <w:pPr>
                    <w:pStyle w:val="LO-Normal"/>
                    <w:widowControl w:val="0"/>
                    <w:autoSpaceDE w:val="0"/>
                    <w:spacing w:after="0" w:line="240" w:lineRule="auto"/>
                    <w:ind w:firstLine="480"/>
                    <w:jc w:val="both"/>
                    <w:rPr>
                      <w:rFonts w:ascii="Times New Roman" w:hAnsi="Times New Roman"/>
                      <w:b/>
                      <w:bCs/>
                      <w:i/>
                      <w:iCs/>
                      <w:sz w:val="20"/>
                      <w:szCs w:val="20"/>
                    </w:rPr>
                  </w:pPr>
                  <w:r>
                    <w:rPr>
                      <w:rFonts w:ascii="Times New Roman" w:hAnsi="Times New Roman"/>
                      <w:b/>
                      <w:bCs/>
                      <w:i/>
                      <w:iCs/>
                      <w:sz w:val="20"/>
                      <w:szCs w:val="20"/>
                    </w:rPr>
                    <w:t>Моля, прочетете внимателно правилника на фонда и Вашия осигурителен договор, техните разпоредби имат предимство пред този документ!</w:t>
                  </w:r>
                </w:p>
              </w:tc>
              <w:tc>
                <w:tcPr>
                  <w:tcW w:w="4227" w:type="dxa"/>
                  <w:vAlign w:val="center"/>
                </w:tcPr>
                <w:p w14:paraId="3146D98D" w14:textId="0218730C" w:rsidR="00464A6E" w:rsidRDefault="00921D5D">
                  <w:pPr>
                    <w:pStyle w:val="LO-Normal"/>
                    <w:widowControl w:val="0"/>
                    <w:autoSpaceDE w:val="0"/>
                    <w:spacing w:after="0" w:line="240" w:lineRule="auto"/>
                    <w:jc w:val="center"/>
                  </w:pPr>
                  <w:r>
                    <w:rPr>
                      <w:rFonts w:ascii="Times New Roman" w:hAnsi="Times New Roman"/>
                      <w:sz w:val="20"/>
                      <w:szCs w:val="20"/>
                    </w:rPr>
                    <w:t xml:space="preserve">Този документ е </w:t>
                  </w:r>
                  <w:r w:rsidRPr="0061041B">
                    <w:rPr>
                      <w:rFonts w:ascii="Times New Roman" w:hAnsi="Times New Roman"/>
                      <w:sz w:val="20"/>
                      <w:szCs w:val="20"/>
                    </w:rPr>
                    <w:t>изготвен на</w:t>
                  </w:r>
                  <w:r w:rsidR="0061041B" w:rsidRPr="0061041B">
                    <w:rPr>
                      <w:rFonts w:ascii="Times New Roman" w:hAnsi="Times New Roman"/>
                      <w:sz w:val="20"/>
                      <w:szCs w:val="20"/>
                    </w:rPr>
                    <w:t xml:space="preserve"> 17.</w:t>
                  </w:r>
                  <w:r w:rsidR="00EB6F5A" w:rsidRPr="0061041B">
                    <w:rPr>
                      <w:rFonts w:ascii="Times New Roman" w:hAnsi="Times New Roman"/>
                      <w:sz w:val="20"/>
                      <w:szCs w:val="20"/>
                      <w:lang w:val="en-US"/>
                    </w:rPr>
                    <w:t>03</w:t>
                  </w:r>
                  <w:r w:rsidR="00682649" w:rsidRPr="0061041B">
                    <w:rPr>
                      <w:rFonts w:ascii="Times New Roman" w:hAnsi="Times New Roman"/>
                      <w:sz w:val="20"/>
                      <w:szCs w:val="20"/>
                    </w:rPr>
                    <w:t>.2026 г.</w:t>
                  </w:r>
                </w:p>
              </w:tc>
            </w:tr>
          </w:tbl>
          <w:p w14:paraId="66903237" w14:textId="77777777" w:rsidR="00464A6E" w:rsidRDefault="00464A6E">
            <w:pPr>
              <w:pStyle w:val="LO-Normal"/>
              <w:widowControl w:val="0"/>
              <w:autoSpaceDE w:val="0"/>
              <w:spacing w:after="0" w:line="240" w:lineRule="auto"/>
              <w:ind w:firstLine="480"/>
              <w:jc w:val="both"/>
              <w:rPr>
                <w:rFonts w:ascii="Times New Roman" w:hAnsi="Times New Roman"/>
                <w:sz w:val="24"/>
                <w:szCs w:val="24"/>
              </w:rPr>
            </w:pPr>
          </w:p>
        </w:tc>
      </w:tr>
    </w:tbl>
    <w:p w14:paraId="6293CB15" w14:textId="77777777" w:rsidR="00464A6E" w:rsidRDefault="00464A6E">
      <w:pPr>
        <w:pStyle w:val="LO-Normal"/>
        <w:rPr>
          <w:rFonts w:ascii="Times New Roman" w:hAnsi="Times New Roman"/>
          <w:sz w:val="24"/>
          <w:szCs w:val="24"/>
        </w:rPr>
      </w:pPr>
    </w:p>
    <w:sectPr w:rsidR="00464A6E">
      <w:pgSz w:w="11906" w:h="16838"/>
      <w:pgMar w:top="1417" w:right="1417" w:bottom="708" w:left="1417" w:header="708" w:footer="0"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2550F" w14:textId="77777777" w:rsidR="00A14484" w:rsidRDefault="00A14484">
      <w:pPr>
        <w:spacing w:after="0" w:line="240" w:lineRule="auto"/>
      </w:pPr>
      <w:r>
        <w:separator/>
      </w:r>
    </w:p>
  </w:endnote>
  <w:endnote w:type="continuationSeparator" w:id="0">
    <w:p w14:paraId="28122433" w14:textId="77777777" w:rsidR="00A14484" w:rsidRDefault="00A14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P_Optimal">
    <w:altName w:val="Trebuchet MS"/>
    <w:charset w:val="CC"/>
    <w:family w:val="swiss"/>
    <w:pitch w:val="variable"/>
    <w:sig w:usb0="80000201" w:usb1="00000048" w:usb2="00000000" w:usb3="00000000" w:csb0="00000004"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0F062" w14:textId="77777777" w:rsidR="00A14484" w:rsidRDefault="00A14484">
      <w:pPr>
        <w:spacing w:after="0" w:line="240" w:lineRule="auto"/>
      </w:pPr>
      <w:r>
        <w:separator/>
      </w:r>
    </w:p>
  </w:footnote>
  <w:footnote w:type="continuationSeparator" w:id="0">
    <w:p w14:paraId="68D3AA15" w14:textId="77777777" w:rsidR="00A14484" w:rsidRDefault="00A14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14A"/>
    <w:multiLevelType w:val="hybridMultilevel"/>
    <w:tmpl w:val="DB6E9D34"/>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1" w15:restartNumberingAfterBreak="0">
    <w:nsid w:val="207C6BF2"/>
    <w:multiLevelType w:val="hybridMultilevel"/>
    <w:tmpl w:val="5108F148"/>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2" w15:restartNumberingAfterBreak="0">
    <w:nsid w:val="23CD33EB"/>
    <w:multiLevelType w:val="multilevel"/>
    <w:tmpl w:val="FFB8E974"/>
    <w:lvl w:ilvl="0">
      <w:start w:val="2"/>
      <w:numFmt w:val="decimal"/>
      <w:lvlText w:val="%1."/>
      <w:lvlJc w:val="left"/>
      <w:pPr>
        <w:ind w:left="0" w:firstLine="202"/>
      </w:pPr>
      <w:rPr>
        <w:rFonts w:ascii="Times New Roman" w:hAnsi="Times New Roman"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E6542AE"/>
    <w:multiLevelType w:val="multilevel"/>
    <w:tmpl w:val="7CEA7DA6"/>
    <w:lvl w:ilvl="0">
      <w:start w:val="7"/>
      <w:numFmt w:val="decimal"/>
      <w:lvlText w:val="%1."/>
      <w:lvlJc w:val="left"/>
      <w:pPr>
        <w:ind w:left="0" w:firstLine="259"/>
      </w:pPr>
      <w:rPr>
        <w:rFonts w:ascii="Times New Roman" w:hAnsi="Times New Roman"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7883C60"/>
    <w:multiLevelType w:val="hybridMultilevel"/>
    <w:tmpl w:val="2F6CB3F0"/>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5" w15:restartNumberingAfterBreak="0">
    <w:nsid w:val="599C101E"/>
    <w:multiLevelType w:val="multilevel"/>
    <w:tmpl w:val="13EE13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61291630">
    <w:abstractNumId w:val="2"/>
  </w:num>
  <w:num w:numId="2" w16cid:durableId="1436974100">
    <w:abstractNumId w:val="3"/>
  </w:num>
  <w:num w:numId="3" w16cid:durableId="1670019619">
    <w:abstractNumId w:val="5"/>
  </w:num>
  <w:num w:numId="4" w16cid:durableId="576668600">
    <w:abstractNumId w:val="4"/>
  </w:num>
  <w:num w:numId="5" w16cid:durableId="851260871">
    <w:abstractNumId w:val="1"/>
  </w:num>
  <w:num w:numId="6" w16cid:durableId="49703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4A6E"/>
    <w:rsid w:val="000169EA"/>
    <w:rsid w:val="0002523F"/>
    <w:rsid w:val="00111DCC"/>
    <w:rsid w:val="001C0B34"/>
    <w:rsid w:val="00223A92"/>
    <w:rsid w:val="00266DA3"/>
    <w:rsid w:val="002678E1"/>
    <w:rsid w:val="002F6E72"/>
    <w:rsid w:val="00300106"/>
    <w:rsid w:val="003A72AA"/>
    <w:rsid w:val="00464A6E"/>
    <w:rsid w:val="004E40D7"/>
    <w:rsid w:val="00501269"/>
    <w:rsid w:val="005132BC"/>
    <w:rsid w:val="00552F1F"/>
    <w:rsid w:val="00566667"/>
    <w:rsid w:val="005D032C"/>
    <w:rsid w:val="005F2F78"/>
    <w:rsid w:val="0061041B"/>
    <w:rsid w:val="00682649"/>
    <w:rsid w:val="006C73C3"/>
    <w:rsid w:val="007026B2"/>
    <w:rsid w:val="00710987"/>
    <w:rsid w:val="0082089A"/>
    <w:rsid w:val="008C6788"/>
    <w:rsid w:val="008E57FD"/>
    <w:rsid w:val="00911787"/>
    <w:rsid w:val="00921D5D"/>
    <w:rsid w:val="009827CC"/>
    <w:rsid w:val="009D3115"/>
    <w:rsid w:val="00A14484"/>
    <w:rsid w:val="00A14D7C"/>
    <w:rsid w:val="00A345C7"/>
    <w:rsid w:val="00A44D01"/>
    <w:rsid w:val="00A4554B"/>
    <w:rsid w:val="00B74E18"/>
    <w:rsid w:val="00C4517B"/>
    <w:rsid w:val="00CE760C"/>
    <w:rsid w:val="00D248F9"/>
    <w:rsid w:val="00D81D1D"/>
    <w:rsid w:val="00E25CE8"/>
    <w:rsid w:val="00EB4829"/>
    <w:rsid w:val="00EB6F5A"/>
    <w:rsid w:val="00EE7109"/>
    <w:rsid w:val="00EF0E74"/>
    <w:rsid w:val="00F5431D"/>
    <w:rsid w:val="00F567C7"/>
    <w:rsid w:val="00FB6692"/>
    <w:rsid w:val="00FE18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096E1"/>
  <w15:docId w15:val="{D93DA035-5292-4F33-97A3-C6EC0552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bg-BG" w:eastAsia="en-US" w:bidi="ar-SA"/>
      </w:rPr>
    </w:rPrDefault>
    <w:pPrDefault>
      <w:pPr>
        <w:spacing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563C1"/>
      <w:u w:val="single"/>
    </w:rPr>
  </w:style>
  <w:style w:type="character" w:styleId="UnresolvedMention">
    <w:name w:val="Unresolved Mention"/>
    <w:basedOn w:val="DefaultParagraphFont"/>
    <w:qFormat/>
    <w:rPr>
      <w:color w:val="605E5C"/>
      <w:highlight w:val="lightGray"/>
    </w:rPr>
  </w:style>
  <w:style w:type="character" w:customStyle="1" w:styleId="BodyTextIndentChar">
    <w:name w:val="Body Text Indent Char"/>
    <w:basedOn w:val="DefaultParagraphFont"/>
    <w:qFormat/>
    <w:rPr>
      <w:rFonts w:ascii="SP_Optimal" w:eastAsia="Times New Roman" w:hAnsi="SP_Optimal" w:cs="Times New Roman"/>
      <w:sz w:val="24"/>
      <w:szCs w:val="20"/>
      <w:lang w:val="en-US"/>
    </w:rPr>
  </w:style>
  <w:style w:type="character" w:customStyle="1" w:styleId="HeaderChar">
    <w:name w:val="Header Char"/>
    <w:basedOn w:val="DefaultParagraphFont"/>
    <w:qFormat/>
    <w:rPr>
      <w:rFonts w:eastAsia="Times New Roman"/>
      <w:lang w:eastAsia="bg-BG"/>
    </w:rPr>
  </w:style>
  <w:style w:type="character" w:customStyle="1" w:styleId="FooterChar">
    <w:name w:val="Footer Char"/>
    <w:basedOn w:val="DefaultParagraphFont"/>
    <w:qFormat/>
    <w:rPr>
      <w:rFonts w:eastAsia="Times New Roman"/>
      <w:lang w:eastAsia="bg-BG"/>
    </w:rPr>
  </w:style>
  <w:style w:type="character" w:customStyle="1" w:styleId="WWCharLFO1LVL1">
    <w:name w:val="WW_CharLFO1LVL1"/>
    <w:qFormat/>
    <w:rPr>
      <w:rFonts w:ascii="Times New Roman" w:hAnsi="Times New Roman" w:cs="Times New Roman"/>
    </w:rPr>
  </w:style>
  <w:style w:type="character" w:customStyle="1" w:styleId="WWCharLFO2LVL1">
    <w:name w:val="WW_CharLFO2LVL1"/>
    <w:qFormat/>
    <w:rPr>
      <w:rFonts w:ascii="Times New Roman" w:hAnsi="Times New Roman" w:cs="Times New Roman"/>
    </w:rPr>
  </w:style>
  <w:style w:type="character" w:customStyle="1" w:styleId="InternetLink">
    <w:name w:val="Internet Link"/>
    <w:rPr>
      <w:color w:val="000080"/>
      <w:u w:val="single"/>
    </w:rPr>
  </w:style>
  <w:style w:type="paragraph" w:customStyle="1" w:styleId="LO-Normal">
    <w:name w:val="LO-Normal"/>
    <w:qFormat/>
    <w:pPr>
      <w:suppressAutoHyphens/>
      <w:spacing w:after="160"/>
    </w:pPr>
    <w:rPr>
      <w:rFonts w:eastAsia="Times New Roman"/>
      <w:lang w:eastAsia="bg-BG"/>
    </w:rPr>
  </w:style>
  <w:style w:type="paragraph" w:styleId="ListParagraph">
    <w:name w:val="List Paragraph"/>
    <w:basedOn w:val="LO-Normal"/>
    <w:uiPriority w:val="34"/>
    <w:qFormat/>
    <w:pPr>
      <w:ind w:left="720"/>
    </w:pPr>
  </w:style>
  <w:style w:type="paragraph" w:styleId="BodyTextIndent">
    <w:name w:val="Body Text Indent"/>
    <w:basedOn w:val="LO-Normal"/>
    <w:qFormat/>
    <w:pPr>
      <w:spacing w:after="0" w:line="240" w:lineRule="auto"/>
      <w:ind w:right="900" w:firstLine="567"/>
      <w:jc w:val="both"/>
    </w:pPr>
    <w:rPr>
      <w:rFonts w:ascii="SP_Optimal" w:hAnsi="SP_Optimal"/>
      <w:sz w:val="24"/>
      <w:szCs w:val="20"/>
      <w:lang w:val="en-US" w:eastAsia="en-US"/>
    </w:rPr>
  </w:style>
  <w:style w:type="paragraph" w:styleId="Header">
    <w:name w:val="header"/>
    <w:basedOn w:val="LO-Normal"/>
    <w:pPr>
      <w:tabs>
        <w:tab w:val="center" w:pos="4536"/>
        <w:tab w:val="right" w:pos="9072"/>
      </w:tabs>
      <w:spacing w:after="0" w:line="240" w:lineRule="auto"/>
    </w:pPr>
  </w:style>
  <w:style w:type="paragraph" w:styleId="Footer">
    <w:name w:val="footer"/>
    <w:basedOn w:val="LO-Normal"/>
    <w:pPr>
      <w:tabs>
        <w:tab w:val="center" w:pos="4536"/>
        <w:tab w:val="right" w:pos="9072"/>
      </w:tabs>
      <w:spacing w:after="0" w:line="240" w:lineRule="auto"/>
    </w:pPr>
  </w:style>
  <w:style w:type="paragraph" w:customStyle="1" w:styleId="TableContents">
    <w:name w:val="Table Contents"/>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sc.bg/" TargetMode="External"/><Relationship Id="rId5" Type="http://schemas.openxmlformats.org/officeDocument/2006/relationships/footnotes" Target="footnotes.xml"/><Relationship Id="rId10" Type="http://schemas.openxmlformats.org/officeDocument/2006/relationships/hyperlink" Target="http://www.pod-budeshte.bg/"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8</Pages>
  <Words>3066</Words>
  <Characters>17480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Valsileva</dc:creator>
  <dc:description/>
  <cp:lastModifiedBy>Вероника Стоянова</cp:lastModifiedBy>
  <cp:revision>29</cp:revision>
  <dcterms:created xsi:type="dcterms:W3CDTF">2019-05-20T11:51:00Z</dcterms:created>
  <dcterms:modified xsi:type="dcterms:W3CDTF">2026-03-17T08:21:00Z</dcterms:modified>
  <dc:language>bg-BG</dc:language>
</cp:coreProperties>
</file>