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ECCE" w14:textId="69334E42" w:rsidR="00AA10DD" w:rsidRDefault="00C85F93">
      <w:pPr>
        <w:pStyle w:val="LO-Normal"/>
        <w:widowControl w:val="0"/>
        <w:autoSpaceDE w:val="0"/>
        <w:spacing w:after="0" w:line="240" w:lineRule="auto"/>
        <w:jc w:val="center"/>
        <w:rPr>
          <w:rFonts w:ascii="Times New Roman" w:hAnsi="Times New Roman"/>
          <w:b/>
          <w:bCs/>
          <w:sz w:val="24"/>
          <w:szCs w:val="24"/>
        </w:rPr>
      </w:pPr>
      <w:bookmarkStart w:id="0" w:name="_Hlk216861504"/>
      <w:bookmarkEnd w:id="0"/>
      <w:r>
        <w:rPr>
          <w:noProof/>
        </w:rPr>
        <w:drawing>
          <wp:inline distT="0" distB="0" distL="0" distR="0" wp14:anchorId="704E3B9A" wp14:editId="0D882EB0">
            <wp:extent cx="6059510" cy="531495"/>
            <wp:effectExtent l="0" t="0" r="0" b="190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7">
                      <a:extLst>
                        <a:ext uri="{28A0092B-C50C-407E-A947-70E740481C1C}">
                          <a14:useLocalDpi xmlns:a14="http://schemas.microsoft.com/office/drawing/2010/main" val="0"/>
                        </a:ext>
                      </a:extLst>
                    </a:blip>
                    <a:stretch>
                      <a:fillRect/>
                    </a:stretch>
                  </pic:blipFill>
                  <pic:spPr>
                    <a:xfrm>
                      <a:off x="0" y="0"/>
                      <a:ext cx="6276305" cy="550511"/>
                    </a:xfrm>
                    <a:prstGeom prst="rect">
                      <a:avLst/>
                    </a:prstGeom>
                  </pic:spPr>
                </pic:pic>
              </a:graphicData>
            </a:graphic>
          </wp:inline>
        </w:drawing>
      </w:r>
    </w:p>
    <w:p w14:paraId="6FAA4638" w14:textId="77777777" w:rsidR="00AA10DD" w:rsidRDefault="00366995">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ИНФОРМАЦИЯ ОТНОСНО ОСНОВНИТЕ ХАРАКТЕРИСТИКИ НА ДОБРОВОЛЕН ПЕНСИОНЕН ФОНД И</w:t>
      </w:r>
    </w:p>
    <w:p w14:paraId="7254B2B3" w14:textId="77777777" w:rsidR="00AA10DD" w:rsidRDefault="00366995">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 xml:space="preserve"> УЧАСТИЕТО В НЕГО</w:t>
      </w:r>
    </w:p>
    <w:tbl>
      <w:tblPr>
        <w:tblW w:w="10079" w:type="dxa"/>
        <w:tblInd w:w="-284" w:type="dxa"/>
        <w:tblCellMar>
          <w:top w:w="15" w:type="dxa"/>
          <w:left w:w="15" w:type="dxa"/>
          <w:bottom w:w="15" w:type="dxa"/>
          <w:right w:w="15" w:type="dxa"/>
        </w:tblCellMar>
        <w:tblLook w:val="04A0" w:firstRow="1" w:lastRow="0" w:firstColumn="1" w:lastColumn="0" w:noHBand="0" w:noVBand="1"/>
      </w:tblPr>
      <w:tblGrid>
        <w:gridCol w:w="9782"/>
        <w:gridCol w:w="297"/>
      </w:tblGrid>
      <w:tr w:rsidR="00AA10DD" w14:paraId="7964EA30" w14:textId="77777777">
        <w:tc>
          <w:tcPr>
            <w:tcW w:w="10079" w:type="dxa"/>
            <w:gridSpan w:val="2"/>
            <w:vAlign w:val="center"/>
          </w:tcPr>
          <w:tbl>
            <w:tblPr>
              <w:tblW w:w="9819" w:type="dxa"/>
              <w:tblCellMar>
                <w:left w:w="0" w:type="dxa"/>
                <w:right w:w="0" w:type="dxa"/>
              </w:tblCellMar>
              <w:tblLook w:val="04A0" w:firstRow="1" w:lastRow="0" w:firstColumn="1" w:lastColumn="0" w:noHBand="0" w:noVBand="1"/>
            </w:tblPr>
            <w:tblGrid>
              <w:gridCol w:w="4202"/>
              <w:gridCol w:w="5617"/>
            </w:tblGrid>
            <w:tr w:rsidR="00AA10DD" w14:paraId="4F284104" w14:textId="77777777">
              <w:trPr>
                <w:trHeight w:val="726"/>
              </w:trPr>
              <w:tc>
                <w:tcPr>
                  <w:tcW w:w="4202" w:type="dxa"/>
                  <w:vAlign w:val="center"/>
                </w:tcPr>
                <w:p w14:paraId="36587909" w14:textId="6D83FBCF" w:rsidR="00AA10DD" w:rsidRDefault="00AA10DD">
                  <w:pPr>
                    <w:pStyle w:val="LO-Normal"/>
                    <w:rPr>
                      <w:rFonts w:ascii="Times New Roman" w:hAnsi="Times New Roman"/>
                      <w:i/>
                      <w:iCs/>
                    </w:rPr>
                  </w:pPr>
                </w:p>
                <w:p w14:paraId="7B28196B"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4C642531" w14:textId="77777777" w:rsidR="00AA10DD" w:rsidRDefault="00366995">
                  <w:pPr>
                    <w:pStyle w:val="LO-Normal"/>
                    <w:rPr>
                      <w:rFonts w:ascii="Times New Roman" w:hAnsi="Times New Roman"/>
                      <w:b/>
                      <w:sz w:val="24"/>
                      <w:szCs w:val="24"/>
                    </w:rPr>
                  </w:pPr>
                  <w:r>
                    <w:rPr>
                      <w:rFonts w:ascii="Times New Roman" w:hAnsi="Times New Roman"/>
                      <w:b/>
                      <w:sz w:val="24"/>
                      <w:szCs w:val="24"/>
                    </w:rPr>
                    <w:t xml:space="preserve">“Пенсионноосигурително дружество - Бъдеще” АД </w:t>
                  </w:r>
                </w:p>
                <w:p w14:paraId="38F3A470" w14:textId="77777777" w:rsidR="00AA10DD" w:rsidRDefault="00366995">
                  <w:pPr>
                    <w:pStyle w:val="LO-Normal"/>
                    <w:widowControl w:val="0"/>
                    <w:autoSpaceDE w:val="0"/>
                    <w:spacing w:after="0" w:line="240" w:lineRule="auto"/>
                    <w:jc w:val="both"/>
                  </w:pPr>
                  <w:r>
                    <w:rPr>
                      <w:rFonts w:ascii="Times New Roman" w:hAnsi="Times New Roman"/>
                      <w:b/>
                      <w:sz w:val="24"/>
                      <w:szCs w:val="24"/>
                    </w:rPr>
                    <w:t>„Доброволен  пенсионен фонд</w:t>
                  </w:r>
                  <w:r w:rsidRPr="00FB3150">
                    <w:rPr>
                      <w:rFonts w:ascii="Times New Roman" w:hAnsi="Times New Roman"/>
                      <w:b/>
                      <w:sz w:val="24"/>
                      <w:szCs w:val="24"/>
                      <w:lang w:val="ru-RU"/>
                    </w:rPr>
                    <w:t xml:space="preserve"> – </w:t>
                  </w:r>
                  <w:r>
                    <w:rPr>
                      <w:rFonts w:ascii="Times New Roman" w:hAnsi="Times New Roman"/>
                      <w:b/>
                      <w:sz w:val="24"/>
                      <w:szCs w:val="24"/>
                    </w:rPr>
                    <w:t>Бъдеще“</w:t>
                  </w:r>
                </w:p>
                <w:p w14:paraId="75F83C25" w14:textId="77777777" w:rsidR="00AA10DD" w:rsidRDefault="00AA10DD">
                  <w:pPr>
                    <w:pStyle w:val="LO-Normal"/>
                    <w:widowControl w:val="0"/>
                    <w:autoSpaceDE w:val="0"/>
                    <w:spacing w:after="0" w:line="240" w:lineRule="auto"/>
                    <w:rPr>
                      <w:rFonts w:ascii="Times New Roman" w:hAnsi="Times New Roman"/>
                      <w:sz w:val="24"/>
                      <w:szCs w:val="24"/>
                    </w:rPr>
                  </w:pPr>
                </w:p>
              </w:tc>
            </w:tr>
            <w:tr w:rsidR="00AA10DD" w14:paraId="69AEA67A" w14:textId="77777777">
              <w:trPr>
                <w:trHeight w:val="66"/>
              </w:trPr>
              <w:tc>
                <w:tcPr>
                  <w:tcW w:w="4202" w:type="dxa"/>
                  <w:vAlign w:val="center"/>
                </w:tcPr>
                <w:p w14:paraId="56530DBE"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4B432351" w14:textId="77777777" w:rsidR="00AA10DD" w:rsidRDefault="00AA10DD">
                  <w:pPr>
                    <w:pStyle w:val="LO-Normal"/>
                    <w:widowControl w:val="0"/>
                    <w:autoSpaceDE w:val="0"/>
                    <w:spacing w:after="0" w:line="240" w:lineRule="auto"/>
                    <w:rPr>
                      <w:rFonts w:ascii="Times New Roman" w:hAnsi="Times New Roman"/>
                      <w:i/>
                      <w:iCs/>
                      <w:sz w:val="24"/>
                      <w:szCs w:val="24"/>
                    </w:rPr>
                  </w:pPr>
                </w:p>
              </w:tc>
            </w:tr>
          </w:tbl>
          <w:p w14:paraId="6C357E2B" w14:textId="5ADEAB40" w:rsidR="00AA10DD" w:rsidRDefault="00366995">
            <w:pPr>
              <w:pStyle w:val="LO-Normal"/>
              <w:widowControl w:val="0"/>
              <w:autoSpaceDE w:val="0"/>
              <w:spacing w:after="0" w:line="240" w:lineRule="auto"/>
              <w:ind w:firstLine="480"/>
              <w:jc w:val="both"/>
            </w:pPr>
            <w:r w:rsidRPr="00FB3150">
              <w:rPr>
                <w:rFonts w:ascii="Times New Roman" w:hAnsi="Times New Roman"/>
                <w:sz w:val="20"/>
                <w:szCs w:val="20"/>
                <w:lang w:val="ru-RU"/>
              </w:rPr>
              <w:t xml:space="preserve">                                                                           </w:t>
            </w:r>
            <w:r>
              <w:rPr>
                <w:rFonts w:ascii="Times New Roman" w:hAnsi="Times New Roman"/>
                <w:sz w:val="20"/>
                <w:szCs w:val="20"/>
              </w:rPr>
              <w:t xml:space="preserve">(при осигуряване </w:t>
            </w:r>
            <w:r w:rsidR="003F1D60">
              <w:rPr>
                <w:rFonts w:ascii="Times New Roman" w:hAnsi="Times New Roman"/>
                <w:sz w:val="20"/>
                <w:szCs w:val="20"/>
              </w:rPr>
              <w:t>от друг осигурител по чл.230, ал.3, т.2-4 от КСО</w:t>
            </w:r>
            <w:r>
              <w:rPr>
                <w:rFonts w:ascii="Times New Roman" w:hAnsi="Times New Roman"/>
                <w:sz w:val="24"/>
                <w:szCs w:val="24"/>
              </w:rPr>
              <w:t>)</w:t>
            </w:r>
          </w:p>
          <w:p w14:paraId="5B362E62" w14:textId="1D8456A2" w:rsidR="00AA10DD" w:rsidRPr="00FB3150" w:rsidRDefault="00AA10DD">
            <w:pPr>
              <w:pStyle w:val="LO-Normal"/>
              <w:widowControl w:val="0"/>
              <w:autoSpaceDE w:val="0"/>
              <w:spacing w:after="0" w:line="240" w:lineRule="auto"/>
              <w:ind w:firstLine="480"/>
              <w:jc w:val="both"/>
              <w:rPr>
                <w:rFonts w:ascii="Times New Roman" w:hAnsi="Times New Roman"/>
                <w:sz w:val="24"/>
                <w:szCs w:val="24"/>
                <w:lang w:val="ru-RU"/>
              </w:rPr>
            </w:pPr>
          </w:p>
          <w:p w14:paraId="489E3BB2" w14:textId="77777777" w:rsidR="00AA10DD" w:rsidRDefault="00AA10DD">
            <w:pPr>
              <w:pStyle w:val="LO-Normal"/>
              <w:widowControl w:val="0"/>
              <w:autoSpaceDE w:val="0"/>
              <w:spacing w:after="0" w:line="240" w:lineRule="auto"/>
              <w:ind w:firstLine="480"/>
              <w:jc w:val="both"/>
              <w:rPr>
                <w:rFonts w:ascii="Times New Roman" w:hAnsi="Times New Roman"/>
                <w:b/>
                <w:bCs/>
                <w:sz w:val="24"/>
                <w:szCs w:val="24"/>
              </w:rPr>
            </w:pPr>
          </w:p>
        </w:tc>
      </w:tr>
      <w:tr w:rsidR="00AA10DD" w14:paraId="2C647475" w14:textId="77777777">
        <w:tc>
          <w:tcPr>
            <w:tcW w:w="9782" w:type="dxa"/>
            <w:vAlign w:val="center"/>
          </w:tcPr>
          <w:tbl>
            <w:tblPr>
              <w:tblpPr w:leftFromText="141" w:rightFromText="141" w:vertAnchor="text" w:horzAnchor="margin" w:tblpXSpec="center" w:tblpY="-1879"/>
              <w:tblOverlap w:val="never"/>
              <w:tblW w:w="8060" w:type="dxa"/>
              <w:tblBorders>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838"/>
              <w:gridCol w:w="3524"/>
            </w:tblGrid>
            <w:tr w:rsidR="00793B9E" w14:paraId="08456060" w14:textId="77777777" w:rsidTr="00C85F93">
              <w:trPr>
                <w:trHeight w:val="258"/>
              </w:trPr>
              <w:tc>
                <w:tcPr>
                  <w:tcW w:w="8060" w:type="dxa"/>
                  <w:gridSpan w:val="3"/>
                  <w:tcBorders>
                    <w:bottom w:val="single" w:sz="4" w:space="0" w:color="auto"/>
                  </w:tcBorders>
                  <w:vAlign w:val="center"/>
                </w:tcPr>
                <w:p w14:paraId="541016BE" w14:textId="77777777" w:rsidR="00793B9E" w:rsidRDefault="00793B9E" w:rsidP="00793B9E">
                  <w:pPr>
                    <w:pStyle w:val="LO-Normal"/>
                    <w:widowControl w:val="0"/>
                    <w:autoSpaceDE w:val="0"/>
                    <w:spacing w:after="0" w:line="240" w:lineRule="auto"/>
                    <w:ind w:firstLine="480"/>
                    <w:jc w:val="both"/>
                  </w:pPr>
                  <w:r>
                    <w:rPr>
                      <w:rFonts w:ascii="Times New Roman" w:hAnsi="Times New Roman"/>
                      <w:sz w:val="20"/>
                      <w:szCs w:val="20"/>
                    </w:rPr>
                    <w:t xml:space="preserve">Акционери, притежаващи 10 и над 10 на сто от капитала на </w:t>
                  </w:r>
                  <w:r w:rsidRPr="00FB3150">
                    <w:rPr>
                      <w:rFonts w:ascii="Times New Roman" w:hAnsi="Times New Roman"/>
                      <w:i/>
                      <w:iCs/>
                      <w:sz w:val="20"/>
                      <w:szCs w:val="20"/>
                      <w:lang w:val="ru-RU"/>
                    </w:rPr>
                    <w:t>“</w:t>
                  </w:r>
                  <w:r>
                    <w:rPr>
                      <w:rFonts w:ascii="Times New Roman" w:hAnsi="Times New Roman"/>
                      <w:i/>
                      <w:iCs/>
                      <w:sz w:val="20"/>
                      <w:szCs w:val="20"/>
                    </w:rPr>
                    <w:t>ПОД-БЪДЕЩЕ“ АД</w:t>
                  </w:r>
                </w:p>
              </w:tc>
            </w:tr>
            <w:tr w:rsidR="00793B9E" w14:paraId="70C0D59D" w14:textId="77777777" w:rsidTr="00C85F93">
              <w:trPr>
                <w:trHeight w:val="248"/>
              </w:trPr>
              <w:tc>
                <w:tcPr>
                  <w:tcW w:w="698" w:type="dxa"/>
                  <w:tcBorders>
                    <w:top w:val="single" w:sz="4" w:space="0" w:color="auto"/>
                    <w:left w:val="single" w:sz="4" w:space="0" w:color="auto"/>
                  </w:tcBorders>
                  <w:vAlign w:val="center"/>
                </w:tcPr>
                <w:p w14:paraId="51C6D2C3" w14:textId="77777777" w:rsidR="00793B9E" w:rsidRDefault="00793B9E" w:rsidP="00793B9E">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w:t>
                  </w:r>
                </w:p>
              </w:tc>
              <w:tc>
                <w:tcPr>
                  <w:tcW w:w="3838" w:type="dxa"/>
                  <w:tcBorders>
                    <w:top w:val="single" w:sz="4" w:space="0" w:color="auto"/>
                  </w:tcBorders>
                  <w:vAlign w:val="center"/>
                </w:tcPr>
                <w:p w14:paraId="62A26381" w14:textId="2BDEC519" w:rsidR="00793B9E" w:rsidRDefault="00793B9E" w:rsidP="00793B9E">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Име, презиме, фамилия за ФЛ</w:t>
                  </w:r>
                  <w:r w:rsidR="00C85F93">
                    <w:rPr>
                      <w:rFonts w:ascii="Times New Roman" w:hAnsi="Times New Roman"/>
                      <w:sz w:val="20"/>
                      <w:szCs w:val="20"/>
                    </w:rPr>
                    <w:t xml:space="preserve"> </w:t>
                  </w:r>
                  <w:r>
                    <w:rPr>
                      <w:rFonts w:ascii="Times New Roman" w:hAnsi="Times New Roman"/>
                      <w:sz w:val="20"/>
                      <w:szCs w:val="20"/>
                    </w:rPr>
                    <w:t>/</w:t>
                  </w:r>
                  <w:r w:rsidR="00C85F93">
                    <w:rPr>
                      <w:rFonts w:ascii="Times New Roman" w:hAnsi="Times New Roman"/>
                      <w:sz w:val="20"/>
                      <w:szCs w:val="20"/>
                    </w:rPr>
                    <w:t xml:space="preserve"> </w:t>
                  </w:r>
                  <w:r>
                    <w:rPr>
                      <w:rFonts w:ascii="Times New Roman" w:hAnsi="Times New Roman"/>
                      <w:sz w:val="20"/>
                      <w:szCs w:val="20"/>
                    </w:rPr>
                    <w:t>наименование и ЕИК за ЮЛ</w:t>
                  </w:r>
                </w:p>
              </w:tc>
              <w:tc>
                <w:tcPr>
                  <w:tcW w:w="3524" w:type="dxa"/>
                  <w:tcBorders>
                    <w:top w:val="single" w:sz="4" w:space="0" w:color="auto"/>
                    <w:right w:val="single" w:sz="4" w:space="0" w:color="auto"/>
                  </w:tcBorders>
                  <w:vAlign w:val="center"/>
                </w:tcPr>
                <w:p w14:paraId="70E3DDCC" w14:textId="77777777" w:rsidR="00793B9E" w:rsidRDefault="00793B9E" w:rsidP="00793B9E">
                  <w:pPr>
                    <w:pStyle w:val="LO-Normal"/>
                    <w:widowControl w:val="0"/>
                    <w:autoSpaceDE w:val="0"/>
                    <w:spacing w:after="0" w:line="240" w:lineRule="auto"/>
                    <w:jc w:val="center"/>
                    <w:rPr>
                      <w:rFonts w:ascii="Times New Roman" w:hAnsi="Times New Roman"/>
                      <w:sz w:val="20"/>
                      <w:szCs w:val="20"/>
                    </w:rPr>
                  </w:pPr>
                  <w:r>
                    <w:rPr>
                      <w:rFonts w:ascii="Times New Roman" w:hAnsi="Times New Roman"/>
                      <w:sz w:val="20"/>
                      <w:szCs w:val="20"/>
                    </w:rPr>
                    <w:t>Размер на участието в капитала</w:t>
                  </w:r>
                </w:p>
              </w:tc>
            </w:tr>
            <w:tr w:rsidR="00793B9E" w14:paraId="104387E0" w14:textId="77777777" w:rsidTr="00C85F93">
              <w:trPr>
                <w:trHeight w:val="383"/>
              </w:trPr>
              <w:tc>
                <w:tcPr>
                  <w:tcW w:w="698" w:type="dxa"/>
                  <w:tcBorders>
                    <w:top w:val="single" w:sz="4" w:space="0" w:color="auto"/>
                    <w:left w:val="single" w:sz="4" w:space="0" w:color="auto"/>
                  </w:tcBorders>
                  <w:vAlign w:val="center"/>
                </w:tcPr>
                <w:p w14:paraId="30CFE7A4" w14:textId="77777777" w:rsidR="00793B9E" w:rsidRDefault="00793B9E" w:rsidP="00793B9E">
                  <w:pPr>
                    <w:pStyle w:val="LO-Normal"/>
                    <w:widowControl w:val="0"/>
                    <w:autoSpaceDE w:val="0"/>
                    <w:spacing w:after="0" w:line="240" w:lineRule="auto"/>
                    <w:ind w:firstLine="480"/>
                    <w:jc w:val="both"/>
                    <w:rPr>
                      <w:rFonts w:ascii="Times New Roman" w:hAnsi="Times New Roman"/>
                      <w:sz w:val="20"/>
                      <w:szCs w:val="20"/>
                    </w:rPr>
                  </w:pPr>
                </w:p>
                <w:p w14:paraId="32F63EF1" w14:textId="77777777" w:rsidR="00793B9E" w:rsidRDefault="00793B9E" w:rsidP="00793B9E">
                  <w:pPr>
                    <w:pStyle w:val="LO-Normal"/>
                    <w:widowControl w:val="0"/>
                    <w:autoSpaceDE w:val="0"/>
                    <w:spacing w:after="0" w:line="240" w:lineRule="auto"/>
                    <w:ind w:firstLine="480"/>
                    <w:jc w:val="both"/>
                  </w:pPr>
                  <w:r>
                    <w:rPr>
                      <w:rFonts w:ascii="Times New Roman" w:hAnsi="Times New Roman"/>
                      <w:sz w:val="20"/>
                      <w:szCs w:val="20"/>
                    </w:rPr>
                    <w:t>1</w:t>
                  </w:r>
                </w:p>
              </w:tc>
              <w:tc>
                <w:tcPr>
                  <w:tcW w:w="3838" w:type="dxa"/>
                  <w:tcBorders>
                    <w:top w:val="single" w:sz="4" w:space="0" w:color="auto"/>
                  </w:tcBorders>
                  <w:vAlign w:val="center"/>
                </w:tcPr>
                <w:p w14:paraId="2BD97E84" w14:textId="77777777" w:rsidR="00793B9E" w:rsidRDefault="00793B9E" w:rsidP="00793B9E">
                  <w:pPr>
                    <w:pStyle w:val="LO-Normal"/>
                    <w:widowControl w:val="0"/>
                    <w:autoSpaceDE w:val="0"/>
                    <w:spacing w:after="0" w:line="240" w:lineRule="auto"/>
                    <w:ind w:firstLine="480"/>
                    <w:jc w:val="both"/>
                    <w:rPr>
                      <w:rFonts w:ascii="Times New Roman" w:hAnsi="Times New Roman"/>
                      <w:sz w:val="20"/>
                      <w:szCs w:val="20"/>
                    </w:rPr>
                  </w:pPr>
                </w:p>
                <w:p w14:paraId="51D7550F" w14:textId="55C3DFB3" w:rsidR="00793B9E" w:rsidRDefault="003F1D60" w:rsidP="00793B9E">
                  <w:pPr>
                    <w:pStyle w:val="LO-Normal"/>
                    <w:widowControl w:val="0"/>
                    <w:autoSpaceDE w:val="0"/>
                    <w:spacing w:after="0" w:line="240" w:lineRule="auto"/>
                    <w:ind w:firstLine="480"/>
                    <w:jc w:val="both"/>
                    <w:rPr>
                      <w:rFonts w:ascii="Times New Roman" w:hAnsi="Times New Roman"/>
                      <w:sz w:val="20"/>
                      <w:szCs w:val="20"/>
                    </w:rPr>
                  </w:pPr>
                  <w:proofErr w:type="spellStart"/>
                  <w:r w:rsidRPr="003F1D60">
                    <w:rPr>
                      <w:rFonts w:ascii="Times New Roman" w:hAnsi="Times New Roman"/>
                      <w:sz w:val="20"/>
                      <w:szCs w:val="20"/>
                      <w:lang w:val="en-US"/>
                    </w:rPr>
                    <w:t>Тодор</w:t>
                  </w:r>
                  <w:proofErr w:type="spellEnd"/>
                  <w:r w:rsidRPr="003F1D60">
                    <w:rPr>
                      <w:rFonts w:ascii="Times New Roman" w:hAnsi="Times New Roman"/>
                      <w:sz w:val="20"/>
                      <w:szCs w:val="20"/>
                      <w:lang w:val="en-US"/>
                    </w:rPr>
                    <w:t xml:space="preserve"> </w:t>
                  </w:r>
                  <w:proofErr w:type="spellStart"/>
                  <w:r w:rsidRPr="003F1D60">
                    <w:rPr>
                      <w:rFonts w:ascii="Times New Roman" w:hAnsi="Times New Roman"/>
                      <w:sz w:val="20"/>
                      <w:szCs w:val="20"/>
                      <w:lang w:val="en-US"/>
                    </w:rPr>
                    <w:t>Димитров</w:t>
                  </w:r>
                  <w:proofErr w:type="spellEnd"/>
                  <w:r w:rsidRPr="003F1D60">
                    <w:rPr>
                      <w:rFonts w:ascii="Times New Roman" w:hAnsi="Times New Roman"/>
                      <w:sz w:val="20"/>
                      <w:szCs w:val="20"/>
                      <w:lang w:val="en-US"/>
                    </w:rPr>
                    <w:t xml:space="preserve"> </w:t>
                  </w:r>
                  <w:proofErr w:type="spellStart"/>
                  <w:r w:rsidRPr="003F1D60">
                    <w:rPr>
                      <w:rFonts w:ascii="Times New Roman" w:hAnsi="Times New Roman"/>
                      <w:sz w:val="20"/>
                      <w:szCs w:val="20"/>
                      <w:lang w:val="en-US"/>
                    </w:rPr>
                    <w:t>Табаков</w:t>
                  </w:r>
                  <w:proofErr w:type="spellEnd"/>
                </w:p>
              </w:tc>
              <w:tc>
                <w:tcPr>
                  <w:tcW w:w="3524" w:type="dxa"/>
                  <w:tcBorders>
                    <w:top w:val="single" w:sz="4" w:space="0" w:color="auto"/>
                    <w:right w:val="single" w:sz="4" w:space="0" w:color="auto"/>
                  </w:tcBorders>
                  <w:vAlign w:val="center"/>
                </w:tcPr>
                <w:p w14:paraId="4CE708C0" w14:textId="77777777" w:rsidR="00793B9E" w:rsidRDefault="00793B9E" w:rsidP="00793B9E">
                  <w:pPr>
                    <w:pStyle w:val="LO-Normal"/>
                    <w:widowControl w:val="0"/>
                    <w:autoSpaceDE w:val="0"/>
                    <w:spacing w:after="0" w:line="240" w:lineRule="auto"/>
                    <w:ind w:firstLine="480"/>
                    <w:jc w:val="both"/>
                    <w:rPr>
                      <w:rFonts w:ascii="Times New Roman" w:hAnsi="Times New Roman"/>
                      <w:sz w:val="20"/>
                      <w:szCs w:val="20"/>
                    </w:rPr>
                  </w:pPr>
                </w:p>
                <w:p w14:paraId="56478198" w14:textId="450EA06E" w:rsidR="00793B9E" w:rsidRDefault="00990682" w:rsidP="00793B9E">
                  <w:pPr>
                    <w:pStyle w:val="LO-Normal"/>
                    <w:widowControl w:val="0"/>
                    <w:autoSpaceDE w:val="0"/>
                    <w:spacing w:after="0" w:line="240" w:lineRule="auto"/>
                    <w:jc w:val="center"/>
                  </w:pPr>
                  <w:r>
                    <w:rPr>
                      <w:rFonts w:ascii="Times New Roman" w:hAnsi="Times New Roman"/>
                      <w:sz w:val="20"/>
                      <w:szCs w:val="20"/>
                      <w:lang w:val="en-US"/>
                    </w:rPr>
                    <w:t>82.29</w:t>
                  </w:r>
                  <w:r w:rsidR="00793B9E">
                    <w:rPr>
                      <w:rFonts w:ascii="Times New Roman" w:hAnsi="Times New Roman"/>
                      <w:sz w:val="20"/>
                      <w:szCs w:val="20"/>
                    </w:rPr>
                    <w:t xml:space="preserve"> %</w:t>
                  </w:r>
                </w:p>
              </w:tc>
            </w:tr>
          </w:tbl>
          <w:p w14:paraId="09C0662F" w14:textId="77777777" w:rsidR="00AA10DD" w:rsidRDefault="00AA10DD">
            <w:pPr>
              <w:pStyle w:val="LO-Normal"/>
              <w:widowControl w:val="0"/>
              <w:autoSpaceDE w:val="0"/>
              <w:spacing w:after="0" w:line="240" w:lineRule="auto"/>
              <w:ind w:firstLine="480"/>
              <w:jc w:val="both"/>
              <w:rPr>
                <w:rFonts w:ascii="Times New Roman" w:hAnsi="Times New Roman"/>
                <w:b/>
                <w:bCs/>
                <w:sz w:val="24"/>
                <w:szCs w:val="24"/>
              </w:rPr>
            </w:pPr>
          </w:p>
        </w:tc>
        <w:tc>
          <w:tcPr>
            <w:tcW w:w="297" w:type="dxa"/>
            <w:tcMar>
              <w:top w:w="0" w:type="dxa"/>
              <w:left w:w="10" w:type="dxa"/>
              <w:bottom w:w="0" w:type="dxa"/>
              <w:right w:w="10" w:type="dxa"/>
            </w:tcMar>
          </w:tcPr>
          <w:p w14:paraId="351CC954" w14:textId="77777777" w:rsidR="00AA10DD" w:rsidRDefault="00AA10DD">
            <w:pPr>
              <w:pStyle w:val="LO-Normal"/>
              <w:widowControl w:val="0"/>
              <w:autoSpaceDE w:val="0"/>
              <w:spacing w:after="0" w:line="240" w:lineRule="auto"/>
              <w:ind w:firstLine="480"/>
              <w:jc w:val="both"/>
              <w:rPr>
                <w:rFonts w:ascii="Times New Roman" w:hAnsi="Times New Roman"/>
                <w:b/>
                <w:bCs/>
                <w:sz w:val="24"/>
                <w:szCs w:val="24"/>
              </w:rPr>
            </w:pPr>
          </w:p>
        </w:tc>
      </w:tr>
    </w:tbl>
    <w:p w14:paraId="24D47749" w14:textId="77777777" w:rsidR="00AA10DD" w:rsidRDefault="00366995">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w:t>
      </w:r>
    </w:p>
    <w:p w14:paraId="05F0E9A4" w14:textId="77777777" w:rsidR="00AA10DD" w:rsidRDefault="00366995">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І. Какво трябва да знаете за допълнителното доброволно пенсионно осигуряване в доброволен пенсионен фонд (ДПФ)</w:t>
      </w:r>
    </w:p>
    <w:p w14:paraId="063FDBF3"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p w14:paraId="5AE5A290" w14:textId="7C9444CF" w:rsidR="00AA10DD" w:rsidRDefault="00366995">
      <w:pPr>
        <w:pStyle w:val="LO-Normal"/>
        <w:widowControl w:val="0"/>
        <w:autoSpaceDE w:val="0"/>
        <w:spacing w:after="0" w:line="240" w:lineRule="auto"/>
        <w:ind w:firstLine="480"/>
        <w:jc w:val="both"/>
      </w:pPr>
      <w:r>
        <w:rPr>
          <w:rFonts w:ascii="Times New Roman" w:hAnsi="Times New Roman"/>
          <w:sz w:val="24"/>
          <w:szCs w:val="24"/>
        </w:rPr>
        <w:t>Допълнителното доброволно пенсионно осигуряване в ДПФ е част от Третия стълб на пенсионната система в Република България. То се осъществява от частни пенсионноосигурителни дружества, които учредяват и управляват доброволни пенсионни фондове. Всяко пенсионноосигурително дружество</w:t>
      </w:r>
      <w:r w:rsidR="0026480C">
        <w:rPr>
          <w:rFonts w:ascii="Times New Roman" w:hAnsi="Times New Roman"/>
          <w:sz w:val="24"/>
          <w:szCs w:val="24"/>
          <w:lang w:val="en-US"/>
        </w:rPr>
        <w:t xml:space="preserve"> </w:t>
      </w:r>
      <w:r>
        <w:rPr>
          <w:rFonts w:ascii="Times New Roman" w:hAnsi="Times New Roman"/>
          <w:sz w:val="24"/>
          <w:szCs w:val="24"/>
        </w:rPr>
        <w:t>(ПОД) може да управлява само по един ДПФ.</w:t>
      </w:r>
    </w:p>
    <w:p w14:paraId="369A4B60" w14:textId="77777777" w:rsidR="00AA10DD" w:rsidRDefault="00366995">
      <w:pPr>
        <w:pStyle w:val="LO-Normal"/>
        <w:widowControl w:val="0"/>
        <w:autoSpaceDE w:val="0"/>
        <w:spacing w:after="0" w:line="240" w:lineRule="auto"/>
        <w:ind w:firstLine="480"/>
        <w:jc w:val="both"/>
      </w:pPr>
      <w:r>
        <w:rPr>
          <w:rFonts w:ascii="Times New Roman" w:hAnsi="Times New Roman"/>
          <w:sz w:val="24"/>
          <w:szCs w:val="24"/>
        </w:rPr>
        <w:t>Нормативната уредба на допълнителното доброволно пенсионно осигуряване се съдържа в част ІІ на Кодекса за социално осигуряване (КСО) и в подзаконовите актове по прилагането му.</w:t>
      </w:r>
    </w:p>
    <w:p w14:paraId="46B73DB1" w14:textId="66CE9F90" w:rsidR="003F1D60" w:rsidRPr="003F1D60" w:rsidRDefault="003F1D60" w:rsidP="0026480C">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ДПФ може да се осигурява или да бъде осигурявано всяко лице, навършило 16</w:t>
      </w:r>
      <w:r>
        <w:rPr>
          <w:rFonts w:ascii="Times New Roman" w:hAnsi="Times New Roman"/>
          <w:sz w:val="24"/>
          <w:szCs w:val="24"/>
        </w:rPr>
        <w:t xml:space="preserve"> </w:t>
      </w:r>
      <w:r w:rsidRPr="003F1D60">
        <w:rPr>
          <w:rFonts w:ascii="Times New Roman" w:hAnsi="Times New Roman"/>
          <w:sz w:val="24"/>
          <w:szCs w:val="24"/>
        </w:rPr>
        <w:t>години.</w:t>
      </w:r>
    </w:p>
    <w:p w14:paraId="7A9E1CC3" w14:textId="77777777" w:rsidR="005C5B97"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Вие можете да правите вноски в ДПФ в полза на Вашите работници/служители в</w:t>
      </w:r>
      <w:r w:rsidR="005C5B97">
        <w:rPr>
          <w:rFonts w:ascii="Times New Roman" w:hAnsi="Times New Roman"/>
          <w:sz w:val="24"/>
          <w:szCs w:val="24"/>
        </w:rPr>
        <w:t xml:space="preserve"> </w:t>
      </w:r>
      <w:r w:rsidRPr="003F1D60">
        <w:rPr>
          <w:rFonts w:ascii="Times New Roman" w:hAnsi="Times New Roman"/>
          <w:sz w:val="24"/>
          <w:szCs w:val="24"/>
        </w:rPr>
        <w:t>качеството си на работодател или в качеството си на друг осигурител в полза на лица,</w:t>
      </w:r>
      <w:r w:rsidR="005C5B97">
        <w:rPr>
          <w:rFonts w:ascii="Times New Roman" w:hAnsi="Times New Roman"/>
          <w:sz w:val="24"/>
          <w:szCs w:val="24"/>
        </w:rPr>
        <w:t xml:space="preserve"> </w:t>
      </w:r>
      <w:r w:rsidRPr="003F1D60">
        <w:rPr>
          <w:rFonts w:ascii="Times New Roman" w:hAnsi="Times New Roman"/>
          <w:sz w:val="24"/>
          <w:szCs w:val="24"/>
        </w:rPr>
        <w:t xml:space="preserve">с които не сте в трудови и сходни отношения, но които желаете да осигурявате. </w:t>
      </w:r>
    </w:p>
    <w:p w14:paraId="6669380E" w14:textId="77777777" w:rsidR="005C5B97"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При</w:t>
      </w:r>
      <w:r w:rsidR="005C5B97">
        <w:rPr>
          <w:rFonts w:ascii="Times New Roman" w:hAnsi="Times New Roman"/>
          <w:sz w:val="24"/>
          <w:szCs w:val="24"/>
        </w:rPr>
        <w:t xml:space="preserve"> </w:t>
      </w:r>
      <w:r w:rsidRPr="003F1D60">
        <w:rPr>
          <w:rFonts w:ascii="Times New Roman" w:hAnsi="Times New Roman"/>
          <w:sz w:val="24"/>
          <w:szCs w:val="24"/>
        </w:rPr>
        <w:t>внасянето на вноски в полза на друго лице е необходимо предварително писмено</w:t>
      </w:r>
      <w:r w:rsidR="005C5B97">
        <w:rPr>
          <w:rFonts w:ascii="Times New Roman" w:hAnsi="Times New Roman"/>
          <w:sz w:val="24"/>
          <w:szCs w:val="24"/>
        </w:rPr>
        <w:t xml:space="preserve"> </w:t>
      </w:r>
      <w:r w:rsidRPr="003F1D60">
        <w:rPr>
          <w:rFonts w:ascii="Times New Roman" w:hAnsi="Times New Roman"/>
          <w:sz w:val="24"/>
          <w:szCs w:val="24"/>
        </w:rPr>
        <w:t>съгласие от негова страна. Осигурителната вноска може да бъде месечна, за друг</w:t>
      </w:r>
      <w:r w:rsidR="005C5B97">
        <w:rPr>
          <w:rFonts w:ascii="Times New Roman" w:hAnsi="Times New Roman"/>
          <w:sz w:val="24"/>
          <w:szCs w:val="24"/>
        </w:rPr>
        <w:t xml:space="preserve"> </w:t>
      </w:r>
      <w:r w:rsidRPr="003F1D60">
        <w:rPr>
          <w:rFonts w:ascii="Times New Roman" w:hAnsi="Times New Roman"/>
          <w:sz w:val="24"/>
          <w:szCs w:val="24"/>
        </w:rPr>
        <w:t xml:space="preserve">период или еднократна. </w:t>
      </w:r>
    </w:p>
    <w:p w14:paraId="42EF4899" w14:textId="0AAF6789"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Осигурените от Вас лица могат също да правят вноски за</w:t>
      </w:r>
      <w:r w:rsidR="005C5B97">
        <w:rPr>
          <w:rFonts w:ascii="Times New Roman" w:hAnsi="Times New Roman"/>
          <w:sz w:val="24"/>
          <w:szCs w:val="24"/>
        </w:rPr>
        <w:t xml:space="preserve"> </w:t>
      </w:r>
      <w:r w:rsidRPr="003F1D60">
        <w:rPr>
          <w:rFonts w:ascii="Times New Roman" w:hAnsi="Times New Roman"/>
          <w:sz w:val="24"/>
          <w:szCs w:val="24"/>
        </w:rPr>
        <w:t>собствена сметка.</w:t>
      </w:r>
    </w:p>
    <w:p w14:paraId="6E390DA6" w14:textId="15A83916"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Осигурителните вноски в полза на всяко осигурено от Вас лице се натрупват по</w:t>
      </w:r>
      <w:r w:rsidR="005C5B97">
        <w:rPr>
          <w:rFonts w:ascii="Times New Roman" w:hAnsi="Times New Roman"/>
          <w:sz w:val="24"/>
          <w:szCs w:val="24"/>
        </w:rPr>
        <w:t xml:space="preserve"> </w:t>
      </w:r>
      <w:r w:rsidRPr="003F1D60">
        <w:rPr>
          <w:rFonts w:ascii="Times New Roman" w:hAnsi="Times New Roman"/>
          <w:sz w:val="24"/>
          <w:szCs w:val="24"/>
        </w:rPr>
        <w:t>негова индивидуална партида във фонда. Направените от Вас вноски се водят отделно</w:t>
      </w:r>
      <w:r w:rsidR="005C5B97">
        <w:rPr>
          <w:rFonts w:ascii="Times New Roman" w:hAnsi="Times New Roman"/>
          <w:sz w:val="24"/>
          <w:szCs w:val="24"/>
        </w:rPr>
        <w:t xml:space="preserve"> </w:t>
      </w:r>
      <w:r w:rsidRPr="003F1D60">
        <w:rPr>
          <w:rFonts w:ascii="Times New Roman" w:hAnsi="Times New Roman"/>
          <w:sz w:val="24"/>
          <w:szCs w:val="24"/>
        </w:rPr>
        <w:t>от личните вноски на съответното лице и от направени в негова полза вноски на</w:t>
      </w:r>
      <w:r w:rsidR="005C5B97">
        <w:rPr>
          <w:rFonts w:ascii="Times New Roman" w:hAnsi="Times New Roman"/>
          <w:sz w:val="24"/>
          <w:szCs w:val="24"/>
        </w:rPr>
        <w:t xml:space="preserve"> </w:t>
      </w:r>
      <w:r w:rsidRPr="003F1D60">
        <w:rPr>
          <w:rFonts w:ascii="Times New Roman" w:hAnsi="Times New Roman"/>
          <w:sz w:val="24"/>
          <w:szCs w:val="24"/>
        </w:rPr>
        <w:t>другия осигурител. Натрупаните средства по индивидуалната партида на осигуреното</w:t>
      </w:r>
      <w:r w:rsidR="005C5B97">
        <w:rPr>
          <w:rFonts w:ascii="Times New Roman" w:hAnsi="Times New Roman"/>
          <w:sz w:val="24"/>
          <w:szCs w:val="24"/>
        </w:rPr>
        <w:t xml:space="preserve"> </w:t>
      </w:r>
      <w:r w:rsidRPr="003F1D60">
        <w:rPr>
          <w:rFonts w:ascii="Times New Roman" w:hAnsi="Times New Roman"/>
          <w:sz w:val="24"/>
          <w:szCs w:val="24"/>
        </w:rPr>
        <w:t>лице са лични и се наследяват.</w:t>
      </w:r>
    </w:p>
    <w:p w14:paraId="3672AB14" w14:textId="16A9320F"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За да осигурявате Вашите работници/служители като техен работодател или лица,</w:t>
      </w:r>
      <w:r w:rsidR="005C5B97">
        <w:rPr>
          <w:rFonts w:ascii="Times New Roman" w:hAnsi="Times New Roman"/>
          <w:sz w:val="24"/>
          <w:szCs w:val="24"/>
        </w:rPr>
        <w:t xml:space="preserve"> </w:t>
      </w:r>
      <w:r w:rsidRPr="003F1D60">
        <w:rPr>
          <w:rFonts w:ascii="Times New Roman" w:hAnsi="Times New Roman"/>
          <w:sz w:val="24"/>
          <w:szCs w:val="24"/>
        </w:rPr>
        <w:t>с които не сте в трудови и сходни отношения, в качеството си на друг осигурител, е</w:t>
      </w:r>
      <w:r w:rsidR="005C5B97">
        <w:rPr>
          <w:rFonts w:ascii="Times New Roman" w:hAnsi="Times New Roman"/>
          <w:sz w:val="24"/>
          <w:szCs w:val="24"/>
        </w:rPr>
        <w:t xml:space="preserve"> </w:t>
      </w:r>
      <w:r w:rsidRPr="003F1D60">
        <w:rPr>
          <w:rFonts w:ascii="Times New Roman" w:hAnsi="Times New Roman"/>
          <w:sz w:val="24"/>
          <w:szCs w:val="24"/>
        </w:rPr>
        <w:t>необходимо да сключите осигурителен договор с пенсионноосигурителното дружество,</w:t>
      </w:r>
    </w:p>
    <w:p w14:paraId="36064B09" w14:textId="58EEC7C3" w:rsidR="003F1D60" w:rsidRPr="003F1D60" w:rsidRDefault="003F1D60" w:rsidP="005C5B97">
      <w:pPr>
        <w:pStyle w:val="LO-Normal"/>
        <w:widowControl w:val="0"/>
        <w:autoSpaceDE w:val="0"/>
        <w:spacing w:after="0" w:line="240" w:lineRule="auto"/>
        <w:jc w:val="both"/>
        <w:rPr>
          <w:rFonts w:ascii="Times New Roman" w:hAnsi="Times New Roman"/>
          <w:sz w:val="24"/>
          <w:szCs w:val="24"/>
        </w:rPr>
      </w:pPr>
      <w:r w:rsidRPr="003F1D60">
        <w:rPr>
          <w:rFonts w:ascii="Times New Roman" w:hAnsi="Times New Roman"/>
          <w:sz w:val="24"/>
          <w:szCs w:val="24"/>
        </w:rPr>
        <w:t>управляващо съответния ДПФ. Договорът може да се сключи в офис на дружеството,</w:t>
      </w:r>
      <w:r w:rsidR="005C5B97">
        <w:rPr>
          <w:rFonts w:ascii="Times New Roman" w:hAnsi="Times New Roman"/>
          <w:sz w:val="24"/>
          <w:szCs w:val="24"/>
        </w:rPr>
        <w:t xml:space="preserve"> </w:t>
      </w:r>
      <w:r w:rsidRPr="003F1D60">
        <w:rPr>
          <w:rFonts w:ascii="Times New Roman" w:hAnsi="Times New Roman"/>
          <w:sz w:val="24"/>
          <w:szCs w:val="24"/>
        </w:rPr>
        <w:t>управляващо избрания ДПФ, чрез осигурителен посредник на това дружество или по</w:t>
      </w:r>
      <w:r w:rsidR="005C5B97">
        <w:rPr>
          <w:rFonts w:ascii="Times New Roman" w:hAnsi="Times New Roman"/>
          <w:sz w:val="24"/>
          <w:szCs w:val="24"/>
        </w:rPr>
        <w:t xml:space="preserve"> </w:t>
      </w:r>
      <w:r w:rsidRPr="003F1D60">
        <w:rPr>
          <w:rFonts w:ascii="Times New Roman" w:hAnsi="Times New Roman"/>
          <w:sz w:val="24"/>
          <w:szCs w:val="24"/>
        </w:rPr>
        <w:lastRenderedPageBreak/>
        <w:t>електронен път с квалифициран електронен подпис. Осигурителният посредник следва</w:t>
      </w:r>
      <w:r w:rsidR="005C5B97">
        <w:rPr>
          <w:rFonts w:ascii="Times New Roman" w:hAnsi="Times New Roman"/>
          <w:sz w:val="24"/>
          <w:szCs w:val="24"/>
        </w:rPr>
        <w:t xml:space="preserve"> </w:t>
      </w:r>
      <w:r w:rsidRPr="003F1D60">
        <w:rPr>
          <w:rFonts w:ascii="Times New Roman" w:hAnsi="Times New Roman"/>
          <w:sz w:val="24"/>
          <w:szCs w:val="24"/>
        </w:rPr>
        <w:t>да Ви представи документ, който го легитимира за упражняване на дейността по</w:t>
      </w:r>
      <w:r w:rsidR="005C5B97">
        <w:rPr>
          <w:rFonts w:ascii="Times New Roman" w:hAnsi="Times New Roman"/>
          <w:sz w:val="24"/>
          <w:szCs w:val="24"/>
        </w:rPr>
        <w:t xml:space="preserve"> </w:t>
      </w:r>
      <w:r w:rsidRPr="003F1D60">
        <w:rPr>
          <w:rFonts w:ascii="Times New Roman" w:hAnsi="Times New Roman"/>
          <w:sz w:val="24"/>
          <w:szCs w:val="24"/>
        </w:rPr>
        <w:t>сключване на осигурителни договори от името и за сметка на дружеството. При</w:t>
      </w:r>
      <w:r w:rsidR="005C5B97">
        <w:rPr>
          <w:rFonts w:ascii="Times New Roman" w:hAnsi="Times New Roman"/>
          <w:sz w:val="24"/>
          <w:szCs w:val="24"/>
        </w:rPr>
        <w:t xml:space="preserve"> </w:t>
      </w:r>
      <w:r w:rsidRPr="003F1D60">
        <w:rPr>
          <w:rFonts w:ascii="Times New Roman" w:hAnsi="Times New Roman"/>
          <w:sz w:val="24"/>
          <w:szCs w:val="24"/>
        </w:rPr>
        <w:t>съмнения дали определено лице действително е посредник на дружеството, може да се</w:t>
      </w:r>
      <w:r w:rsidR="005C5B97">
        <w:rPr>
          <w:rFonts w:ascii="Times New Roman" w:hAnsi="Times New Roman"/>
          <w:sz w:val="24"/>
          <w:szCs w:val="24"/>
        </w:rPr>
        <w:t xml:space="preserve"> </w:t>
      </w:r>
      <w:r w:rsidRPr="003F1D60">
        <w:rPr>
          <w:rFonts w:ascii="Times New Roman" w:hAnsi="Times New Roman"/>
          <w:sz w:val="24"/>
          <w:szCs w:val="24"/>
        </w:rPr>
        <w:t>направи справка във водения от КФН регистър, достъпен на нейната интернет</w:t>
      </w:r>
      <w:r w:rsidR="005C5B97">
        <w:rPr>
          <w:rFonts w:ascii="Times New Roman" w:hAnsi="Times New Roman"/>
          <w:sz w:val="24"/>
          <w:szCs w:val="24"/>
        </w:rPr>
        <w:t xml:space="preserve"> </w:t>
      </w:r>
      <w:r w:rsidRPr="003F1D60">
        <w:rPr>
          <w:rFonts w:ascii="Times New Roman" w:hAnsi="Times New Roman"/>
          <w:sz w:val="24"/>
          <w:szCs w:val="24"/>
        </w:rPr>
        <w:t>страница (www.fsc.bg). При подписване на договора ПОД следва да Ви предостави</w:t>
      </w:r>
      <w:r w:rsidR="005C5B97">
        <w:rPr>
          <w:rFonts w:ascii="Times New Roman" w:hAnsi="Times New Roman"/>
          <w:sz w:val="24"/>
          <w:szCs w:val="24"/>
        </w:rPr>
        <w:t xml:space="preserve"> </w:t>
      </w:r>
      <w:r w:rsidRPr="003F1D60">
        <w:rPr>
          <w:rFonts w:ascii="Times New Roman" w:hAnsi="Times New Roman"/>
          <w:sz w:val="24"/>
          <w:szCs w:val="24"/>
        </w:rPr>
        <w:t>екземпляр от него. Също така имате право да получите копие от основния устройствен</w:t>
      </w:r>
      <w:r w:rsidR="005C5B97">
        <w:rPr>
          <w:rFonts w:ascii="Times New Roman" w:hAnsi="Times New Roman"/>
          <w:sz w:val="24"/>
          <w:szCs w:val="24"/>
        </w:rPr>
        <w:t xml:space="preserve"> </w:t>
      </w:r>
      <w:r w:rsidRPr="003F1D60">
        <w:rPr>
          <w:rFonts w:ascii="Times New Roman" w:hAnsi="Times New Roman"/>
          <w:sz w:val="24"/>
          <w:szCs w:val="24"/>
        </w:rPr>
        <w:t>акт на ДПФ - правилника за организацията и дейността му, и копие от</w:t>
      </w:r>
      <w:r w:rsidR="005C5B97">
        <w:rPr>
          <w:rFonts w:ascii="Times New Roman" w:hAnsi="Times New Roman"/>
          <w:sz w:val="24"/>
          <w:szCs w:val="24"/>
        </w:rPr>
        <w:t xml:space="preserve"> </w:t>
      </w:r>
      <w:r w:rsidRPr="003F1D60">
        <w:rPr>
          <w:rFonts w:ascii="Times New Roman" w:hAnsi="Times New Roman"/>
          <w:sz w:val="24"/>
          <w:szCs w:val="24"/>
        </w:rPr>
        <w:t>инвестиционната му политика.</w:t>
      </w:r>
    </w:p>
    <w:p w14:paraId="10F3624A" w14:textId="2A8C0C39"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Когато осигурявате други лица в качеството си на работодател, в осигурителния</w:t>
      </w:r>
      <w:r w:rsidR="005C5B97">
        <w:rPr>
          <w:rFonts w:ascii="Times New Roman" w:hAnsi="Times New Roman"/>
          <w:sz w:val="24"/>
          <w:szCs w:val="24"/>
        </w:rPr>
        <w:t xml:space="preserve"> </w:t>
      </w:r>
      <w:r w:rsidRPr="003F1D60">
        <w:rPr>
          <w:rFonts w:ascii="Times New Roman" w:hAnsi="Times New Roman"/>
          <w:sz w:val="24"/>
          <w:szCs w:val="24"/>
        </w:rPr>
        <w:t>договор можете да ограничите правото им да прехвърлят в друг фонд средствата,</w:t>
      </w:r>
      <w:r w:rsidR="005C5B97">
        <w:rPr>
          <w:rFonts w:ascii="Times New Roman" w:hAnsi="Times New Roman"/>
          <w:sz w:val="24"/>
          <w:szCs w:val="24"/>
        </w:rPr>
        <w:t xml:space="preserve"> </w:t>
      </w:r>
      <w:r w:rsidRPr="003F1D60">
        <w:rPr>
          <w:rFonts w:ascii="Times New Roman" w:hAnsi="Times New Roman"/>
          <w:sz w:val="24"/>
          <w:szCs w:val="24"/>
        </w:rPr>
        <w:t>натрупани от Вашите вноски. Също така тези средства не могат да бъдат изтеглени от</w:t>
      </w:r>
    </w:p>
    <w:p w14:paraId="61443EBE" w14:textId="5D8F9BD5" w:rsidR="003F1D60" w:rsidRPr="003F1D60" w:rsidRDefault="003F1D60" w:rsidP="005C5B97">
      <w:pPr>
        <w:pStyle w:val="LO-Normal"/>
        <w:widowControl w:val="0"/>
        <w:autoSpaceDE w:val="0"/>
        <w:spacing w:after="0" w:line="240" w:lineRule="auto"/>
        <w:jc w:val="both"/>
        <w:rPr>
          <w:rFonts w:ascii="Times New Roman" w:hAnsi="Times New Roman"/>
          <w:sz w:val="24"/>
          <w:szCs w:val="24"/>
        </w:rPr>
      </w:pPr>
      <w:r w:rsidRPr="003F1D60">
        <w:rPr>
          <w:rFonts w:ascii="Times New Roman" w:hAnsi="Times New Roman"/>
          <w:sz w:val="24"/>
          <w:szCs w:val="24"/>
        </w:rPr>
        <w:t>осигурения преди придобиване на право на пенсия за старост или инвалидност. В</w:t>
      </w:r>
      <w:r w:rsidR="005C5B97">
        <w:rPr>
          <w:rFonts w:ascii="Times New Roman" w:hAnsi="Times New Roman"/>
          <w:sz w:val="24"/>
          <w:szCs w:val="24"/>
        </w:rPr>
        <w:t xml:space="preserve"> </w:t>
      </w:r>
      <w:r w:rsidRPr="003F1D60">
        <w:rPr>
          <w:rFonts w:ascii="Times New Roman" w:hAnsi="Times New Roman"/>
          <w:sz w:val="24"/>
          <w:szCs w:val="24"/>
        </w:rPr>
        <w:t>случай че правите вноски в качеството си на друг осигурител, можете да ограничите</w:t>
      </w:r>
      <w:r w:rsidR="005C5B97">
        <w:rPr>
          <w:rFonts w:ascii="Times New Roman" w:hAnsi="Times New Roman"/>
          <w:sz w:val="24"/>
          <w:szCs w:val="24"/>
        </w:rPr>
        <w:t xml:space="preserve"> </w:t>
      </w:r>
      <w:r w:rsidRPr="003F1D60">
        <w:rPr>
          <w:rFonts w:ascii="Times New Roman" w:hAnsi="Times New Roman"/>
          <w:sz w:val="24"/>
          <w:szCs w:val="24"/>
        </w:rPr>
        <w:t>правата на осигуреното от Вас лице да изтегли и/или да прехвърли средствата,</w:t>
      </w:r>
      <w:r w:rsidR="005C5B97">
        <w:rPr>
          <w:rFonts w:ascii="Times New Roman" w:hAnsi="Times New Roman"/>
          <w:sz w:val="24"/>
          <w:szCs w:val="24"/>
        </w:rPr>
        <w:t xml:space="preserve"> </w:t>
      </w:r>
      <w:r w:rsidRPr="003F1D60">
        <w:rPr>
          <w:rFonts w:ascii="Times New Roman" w:hAnsi="Times New Roman"/>
          <w:sz w:val="24"/>
          <w:szCs w:val="24"/>
        </w:rPr>
        <w:t>натрупани от Вашите вноски.</w:t>
      </w:r>
    </w:p>
    <w:p w14:paraId="14CA22FD" w14:textId="77777777" w:rsidR="005C5B97"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Съвкупността от средствата в партидите формира нетните активи на ДПФ. ПОД</w:t>
      </w:r>
      <w:r w:rsidR="005C5B97">
        <w:rPr>
          <w:rFonts w:ascii="Times New Roman" w:hAnsi="Times New Roman"/>
          <w:sz w:val="24"/>
          <w:szCs w:val="24"/>
        </w:rPr>
        <w:t xml:space="preserve"> </w:t>
      </w:r>
      <w:r w:rsidRPr="003F1D60">
        <w:rPr>
          <w:rFonts w:ascii="Times New Roman" w:hAnsi="Times New Roman"/>
          <w:sz w:val="24"/>
          <w:szCs w:val="24"/>
        </w:rPr>
        <w:t>управлява активите на фонда, като ги инвестира в определени и ограничени от закона</w:t>
      </w:r>
      <w:r w:rsidR="005C5B97">
        <w:rPr>
          <w:rFonts w:ascii="Times New Roman" w:hAnsi="Times New Roman"/>
          <w:sz w:val="24"/>
          <w:szCs w:val="24"/>
        </w:rPr>
        <w:t xml:space="preserve"> </w:t>
      </w:r>
      <w:r w:rsidRPr="003F1D60">
        <w:rPr>
          <w:rFonts w:ascii="Times New Roman" w:hAnsi="Times New Roman"/>
          <w:sz w:val="24"/>
          <w:szCs w:val="24"/>
        </w:rPr>
        <w:t>финансови инструменти, с цел средствата по партидите на осигурените лица да</w:t>
      </w:r>
      <w:r w:rsidR="005C5B97">
        <w:rPr>
          <w:rFonts w:ascii="Times New Roman" w:hAnsi="Times New Roman"/>
          <w:sz w:val="24"/>
          <w:szCs w:val="24"/>
        </w:rPr>
        <w:t xml:space="preserve"> </w:t>
      </w:r>
      <w:r w:rsidRPr="003F1D60">
        <w:rPr>
          <w:rFonts w:ascii="Times New Roman" w:hAnsi="Times New Roman"/>
          <w:sz w:val="24"/>
          <w:szCs w:val="24"/>
        </w:rPr>
        <w:t>нарастват с дохода, реализиран при инвестирането.</w:t>
      </w:r>
    </w:p>
    <w:p w14:paraId="465EECE2" w14:textId="6D47D501" w:rsidR="005F2855" w:rsidRPr="003F1D60" w:rsidRDefault="003F1D60" w:rsidP="005F2855">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 xml:space="preserve">Осигуреното от Вас лице в ДПФ има право на лична пенсия за старост, която </w:t>
      </w:r>
      <w:r w:rsidR="005F2855">
        <w:rPr>
          <w:rFonts w:ascii="Times New Roman" w:hAnsi="Times New Roman"/>
          <w:sz w:val="24"/>
          <w:szCs w:val="24"/>
        </w:rPr>
        <w:t xml:space="preserve">е </w:t>
      </w:r>
    </w:p>
    <w:p w14:paraId="1796A3DB" w14:textId="4288171B" w:rsidR="003F1D60" w:rsidRPr="003F1D60" w:rsidRDefault="005F2855" w:rsidP="005C5B97">
      <w:pPr>
        <w:pStyle w:val="LO-Normal"/>
        <w:widowControl w:val="0"/>
        <w:autoSpaceDE w:val="0"/>
        <w:spacing w:after="0" w:line="240" w:lineRule="auto"/>
        <w:jc w:val="both"/>
        <w:rPr>
          <w:rFonts w:ascii="Times New Roman" w:hAnsi="Times New Roman"/>
          <w:sz w:val="24"/>
          <w:szCs w:val="24"/>
        </w:rPr>
      </w:pPr>
      <w:r w:rsidRPr="003F1D60">
        <w:rPr>
          <w:rFonts w:ascii="Times New Roman" w:hAnsi="Times New Roman"/>
          <w:sz w:val="24"/>
          <w:szCs w:val="24"/>
        </w:rPr>
        <w:t>С</w:t>
      </w:r>
      <w:r w:rsidR="003F1D60" w:rsidRPr="003F1D60">
        <w:rPr>
          <w:rFonts w:ascii="Times New Roman" w:hAnsi="Times New Roman"/>
          <w:sz w:val="24"/>
          <w:szCs w:val="24"/>
        </w:rPr>
        <w:t>рочна</w:t>
      </w:r>
      <w:r>
        <w:rPr>
          <w:rFonts w:ascii="Times New Roman" w:hAnsi="Times New Roman"/>
          <w:sz w:val="24"/>
          <w:szCs w:val="24"/>
        </w:rPr>
        <w:t>, за не повече от 20г</w:t>
      </w:r>
      <w:r w:rsidR="003F1D60" w:rsidRPr="003F1D60">
        <w:rPr>
          <w:rFonts w:ascii="Times New Roman" w:hAnsi="Times New Roman"/>
          <w:sz w:val="24"/>
          <w:szCs w:val="24"/>
        </w:rPr>
        <w:t>, в зависимост от предвиденото в правилника за</w:t>
      </w:r>
      <w:r w:rsidR="005C5B97">
        <w:rPr>
          <w:rFonts w:ascii="Times New Roman" w:hAnsi="Times New Roman"/>
          <w:sz w:val="24"/>
          <w:szCs w:val="24"/>
        </w:rPr>
        <w:t xml:space="preserve"> </w:t>
      </w:r>
      <w:r w:rsidR="003F1D60" w:rsidRPr="003F1D60">
        <w:rPr>
          <w:rFonts w:ascii="Times New Roman" w:hAnsi="Times New Roman"/>
          <w:sz w:val="24"/>
          <w:szCs w:val="24"/>
        </w:rPr>
        <w:t>организацията и дейността на фонда и предпочитанията на лицето. Правото на пенсия</w:t>
      </w:r>
      <w:r w:rsidR="005C5B97">
        <w:rPr>
          <w:rFonts w:ascii="Times New Roman" w:hAnsi="Times New Roman"/>
          <w:sz w:val="24"/>
          <w:szCs w:val="24"/>
        </w:rPr>
        <w:t xml:space="preserve"> </w:t>
      </w:r>
      <w:r w:rsidR="003F1D60" w:rsidRPr="003F1D60">
        <w:rPr>
          <w:rFonts w:ascii="Times New Roman" w:hAnsi="Times New Roman"/>
          <w:sz w:val="24"/>
          <w:szCs w:val="24"/>
        </w:rPr>
        <w:t>възниква при придобиване на право на пенсия за осигурителен стаж и възраст от</w:t>
      </w:r>
      <w:r w:rsidR="005C5B97">
        <w:rPr>
          <w:rFonts w:ascii="Times New Roman" w:hAnsi="Times New Roman"/>
          <w:sz w:val="24"/>
          <w:szCs w:val="24"/>
        </w:rPr>
        <w:t xml:space="preserve"> </w:t>
      </w:r>
      <w:r w:rsidR="003F1D60" w:rsidRPr="003F1D60">
        <w:rPr>
          <w:rFonts w:ascii="Times New Roman" w:hAnsi="Times New Roman"/>
          <w:sz w:val="24"/>
          <w:szCs w:val="24"/>
        </w:rPr>
        <w:t>държавното обществено осигуряване. Пенсия от ДПФ може да бъде получавана и при</w:t>
      </w:r>
      <w:r w:rsidR="005C5B97">
        <w:rPr>
          <w:rFonts w:ascii="Times New Roman" w:hAnsi="Times New Roman"/>
          <w:sz w:val="24"/>
          <w:szCs w:val="24"/>
        </w:rPr>
        <w:t xml:space="preserve"> </w:t>
      </w:r>
      <w:r w:rsidR="003F1D60" w:rsidRPr="003F1D60">
        <w:rPr>
          <w:rFonts w:ascii="Times New Roman" w:hAnsi="Times New Roman"/>
          <w:sz w:val="24"/>
          <w:szCs w:val="24"/>
        </w:rPr>
        <w:t>навършване на възрастта за придобиване право на пенсия за осигурителен стаж и</w:t>
      </w:r>
      <w:r w:rsidR="005C5B97">
        <w:rPr>
          <w:rFonts w:ascii="Times New Roman" w:hAnsi="Times New Roman"/>
          <w:sz w:val="24"/>
          <w:szCs w:val="24"/>
        </w:rPr>
        <w:t xml:space="preserve"> </w:t>
      </w:r>
      <w:r w:rsidR="003F1D60" w:rsidRPr="003F1D60">
        <w:rPr>
          <w:rFonts w:ascii="Times New Roman" w:hAnsi="Times New Roman"/>
          <w:sz w:val="24"/>
          <w:szCs w:val="24"/>
        </w:rPr>
        <w:t>възраст или до 5 години преди навършване на тази възраст. Размерът на пожизнената</w:t>
      </w:r>
      <w:r w:rsidR="005C5B97">
        <w:rPr>
          <w:rFonts w:ascii="Times New Roman" w:hAnsi="Times New Roman"/>
          <w:sz w:val="24"/>
          <w:szCs w:val="24"/>
        </w:rPr>
        <w:t xml:space="preserve"> </w:t>
      </w:r>
      <w:r w:rsidR="003F1D60" w:rsidRPr="003F1D60">
        <w:rPr>
          <w:rFonts w:ascii="Times New Roman" w:hAnsi="Times New Roman"/>
          <w:sz w:val="24"/>
          <w:szCs w:val="24"/>
        </w:rPr>
        <w:t>пенсия, получавана от ДПФ, се изчислява на основата на натрупаната в</w:t>
      </w:r>
      <w:r w:rsidR="005C5B97">
        <w:rPr>
          <w:rFonts w:ascii="Times New Roman" w:hAnsi="Times New Roman"/>
          <w:sz w:val="24"/>
          <w:szCs w:val="24"/>
        </w:rPr>
        <w:t xml:space="preserve"> </w:t>
      </w:r>
      <w:r w:rsidR="003F1D60" w:rsidRPr="003F1D60">
        <w:rPr>
          <w:rFonts w:ascii="Times New Roman" w:hAnsi="Times New Roman"/>
          <w:sz w:val="24"/>
          <w:szCs w:val="24"/>
        </w:rPr>
        <w:t>индивидуалната партида сума в съответствие с определените биометрични таблици и</w:t>
      </w:r>
      <w:r w:rsidR="005C5B97">
        <w:rPr>
          <w:rFonts w:ascii="Times New Roman" w:hAnsi="Times New Roman"/>
          <w:sz w:val="24"/>
          <w:szCs w:val="24"/>
        </w:rPr>
        <w:t xml:space="preserve"> </w:t>
      </w:r>
      <w:r w:rsidR="003F1D60" w:rsidRPr="003F1D60">
        <w:rPr>
          <w:rFonts w:ascii="Times New Roman" w:hAnsi="Times New Roman"/>
          <w:sz w:val="24"/>
          <w:szCs w:val="24"/>
        </w:rPr>
        <w:t>технически лихвен процент, а размерът на срочната пенсия - от натрупаната сума по</w:t>
      </w:r>
      <w:r w:rsidR="005C5B97">
        <w:rPr>
          <w:rFonts w:ascii="Times New Roman" w:hAnsi="Times New Roman"/>
          <w:sz w:val="24"/>
          <w:szCs w:val="24"/>
        </w:rPr>
        <w:t xml:space="preserve"> </w:t>
      </w:r>
      <w:r w:rsidR="003F1D60" w:rsidRPr="003F1D60">
        <w:rPr>
          <w:rFonts w:ascii="Times New Roman" w:hAnsi="Times New Roman"/>
          <w:sz w:val="24"/>
          <w:szCs w:val="24"/>
        </w:rPr>
        <w:t>индивидуалната партида, срока на получаване и технически лихвен процент. Сумата по</w:t>
      </w:r>
      <w:r w:rsidR="005C5B97">
        <w:rPr>
          <w:rFonts w:ascii="Times New Roman" w:hAnsi="Times New Roman"/>
          <w:sz w:val="24"/>
          <w:szCs w:val="24"/>
        </w:rPr>
        <w:t xml:space="preserve"> </w:t>
      </w:r>
      <w:r w:rsidR="003F1D60" w:rsidRPr="003F1D60">
        <w:rPr>
          <w:rFonts w:ascii="Times New Roman" w:hAnsi="Times New Roman"/>
          <w:sz w:val="24"/>
          <w:szCs w:val="24"/>
        </w:rPr>
        <w:t>индивидуалната партида се формира от направените вноски и дохода от тяхното</w:t>
      </w:r>
      <w:r w:rsidR="005C5B97">
        <w:rPr>
          <w:rFonts w:ascii="Times New Roman" w:hAnsi="Times New Roman"/>
          <w:sz w:val="24"/>
          <w:szCs w:val="24"/>
        </w:rPr>
        <w:t xml:space="preserve"> </w:t>
      </w:r>
      <w:r w:rsidR="003F1D60" w:rsidRPr="003F1D60">
        <w:rPr>
          <w:rFonts w:ascii="Times New Roman" w:hAnsi="Times New Roman"/>
          <w:sz w:val="24"/>
          <w:szCs w:val="24"/>
        </w:rPr>
        <w:t>инвестиране, намалени с таксите и удръжките, предвидени в КСО и в правилника на</w:t>
      </w:r>
      <w:r w:rsidR="005C5B97">
        <w:rPr>
          <w:rFonts w:ascii="Times New Roman" w:hAnsi="Times New Roman"/>
          <w:sz w:val="24"/>
          <w:szCs w:val="24"/>
        </w:rPr>
        <w:t xml:space="preserve"> </w:t>
      </w:r>
      <w:r w:rsidR="003F1D60" w:rsidRPr="003F1D60">
        <w:rPr>
          <w:rFonts w:ascii="Times New Roman" w:hAnsi="Times New Roman"/>
          <w:sz w:val="24"/>
          <w:szCs w:val="24"/>
        </w:rPr>
        <w:t>фонда.</w:t>
      </w:r>
    </w:p>
    <w:p w14:paraId="3E4C4943" w14:textId="1FC56278"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Осигуряването в ДПФ дава право и на лична пенсия за инвалидност. То възниква</w:t>
      </w:r>
      <w:r w:rsidR="005C5B97">
        <w:rPr>
          <w:rFonts w:ascii="Times New Roman" w:hAnsi="Times New Roman"/>
          <w:sz w:val="24"/>
          <w:szCs w:val="24"/>
        </w:rPr>
        <w:t xml:space="preserve"> </w:t>
      </w:r>
      <w:r w:rsidRPr="003F1D60">
        <w:rPr>
          <w:rFonts w:ascii="Times New Roman" w:hAnsi="Times New Roman"/>
          <w:sz w:val="24"/>
          <w:szCs w:val="24"/>
        </w:rPr>
        <w:t>от датата на инвалидизирането, посочена в решението на териториалната експертна</w:t>
      </w:r>
      <w:r w:rsidR="005C5B97">
        <w:rPr>
          <w:rFonts w:ascii="Times New Roman" w:hAnsi="Times New Roman"/>
          <w:sz w:val="24"/>
          <w:szCs w:val="24"/>
        </w:rPr>
        <w:t xml:space="preserve"> </w:t>
      </w:r>
      <w:r w:rsidRPr="003F1D60">
        <w:rPr>
          <w:rFonts w:ascii="Times New Roman" w:hAnsi="Times New Roman"/>
          <w:sz w:val="24"/>
          <w:szCs w:val="24"/>
        </w:rPr>
        <w:t>лекарска комисия (ТЕЛК) или на Националната експертна лекарска комисия (НЕЛК).</w:t>
      </w:r>
    </w:p>
    <w:p w14:paraId="07E4DF78" w14:textId="43E51C3D"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 xml:space="preserve">Личната пенсия за инвалидност </w:t>
      </w:r>
      <w:r w:rsidR="005F2855">
        <w:rPr>
          <w:rFonts w:ascii="Times New Roman" w:hAnsi="Times New Roman"/>
          <w:sz w:val="24"/>
          <w:szCs w:val="24"/>
        </w:rPr>
        <w:t xml:space="preserve">е </w:t>
      </w:r>
      <w:r w:rsidRPr="003F1D60">
        <w:rPr>
          <w:rFonts w:ascii="Times New Roman" w:hAnsi="Times New Roman"/>
          <w:sz w:val="24"/>
          <w:szCs w:val="24"/>
        </w:rPr>
        <w:t>срочна</w:t>
      </w:r>
      <w:r w:rsidR="005F2855">
        <w:rPr>
          <w:rFonts w:ascii="Times New Roman" w:hAnsi="Times New Roman"/>
          <w:sz w:val="24"/>
          <w:szCs w:val="24"/>
        </w:rPr>
        <w:t>, като срока се определя</w:t>
      </w:r>
      <w:r w:rsidRPr="003F1D60">
        <w:rPr>
          <w:rFonts w:ascii="Times New Roman" w:hAnsi="Times New Roman"/>
          <w:sz w:val="24"/>
          <w:szCs w:val="24"/>
        </w:rPr>
        <w:t xml:space="preserve"> в зависимост от</w:t>
      </w:r>
      <w:r w:rsidR="005C5B97">
        <w:rPr>
          <w:rFonts w:ascii="Times New Roman" w:hAnsi="Times New Roman"/>
          <w:sz w:val="24"/>
          <w:szCs w:val="24"/>
        </w:rPr>
        <w:t xml:space="preserve"> </w:t>
      </w:r>
      <w:r w:rsidRPr="003F1D60">
        <w:rPr>
          <w:rFonts w:ascii="Times New Roman" w:hAnsi="Times New Roman"/>
          <w:sz w:val="24"/>
          <w:szCs w:val="24"/>
        </w:rPr>
        <w:t>решението на ТЕЛК или НЕЛК</w:t>
      </w:r>
      <w:r w:rsidR="005F2855">
        <w:rPr>
          <w:rFonts w:ascii="Times New Roman" w:hAnsi="Times New Roman"/>
          <w:sz w:val="24"/>
          <w:szCs w:val="24"/>
        </w:rPr>
        <w:t>, но не повече от 20 години.</w:t>
      </w:r>
    </w:p>
    <w:p w14:paraId="0FCCAC8A" w14:textId="1C3C2880"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Осигуряването в ДПФ дава право и на наследствена пенсия. Наследниците на</w:t>
      </w:r>
      <w:r w:rsidR="005C5B97">
        <w:rPr>
          <w:rFonts w:ascii="Times New Roman" w:hAnsi="Times New Roman"/>
          <w:sz w:val="24"/>
          <w:szCs w:val="24"/>
        </w:rPr>
        <w:t xml:space="preserve"> </w:t>
      </w:r>
      <w:r w:rsidRPr="003F1D60">
        <w:rPr>
          <w:rFonts w:ascii="Times New Roman" w:hAnsi="Times New Roman"/>
          <w:sz w:val="24"/>
          <w:szCs w:val="24"/>
        </w:rPr>
        <w:t>починало осигурено лице могат да получат натрупаните по индивидуалната партида</w:t>
      </w:r>
      <w:r w:rsidR="005C5B97">
        <w:rPr>
          <w:rFonts w:ascii="Times New Roman" w:hAnsi="Times New Roman"/>
          <w:sz w:val="24"/>
          <w:szCs w:val="24"/>
        </w:rPr>
        <w:t xml:space="preserve"> </w:t>
      </w:r>
      <w:r w:rsidRPr="003F1D60">
        <w:rPr>
          <w:rFonts w:ascii="Times New Roman" w:hAnsi="Times New Roman"/>
          <w:sz w:val="24"/>
          <w:szCs w:val="24"/>
        </w:rPr>
        <w:t xml:space="preserve">средства и под формата на еднократно или разсрочено изплащане. </w:t>
      </w:r>
    </w:p>
    <w:p w14:paraId="30B06A68" w14:textId="141251C2"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В случай че не сте ограничили правото му на прехвърляне, осигуреното от Вас</w:t>
      </w:r>
      <w:r w:rsidR="005C5B97">
        <w:rPr>
          <w:rFonts w:ascii="Times New Roman" w:hAnsi="Times New Roman"/>
          <w:sz w:val="24"/>
          <w:szCs w:val="24"/>
        </w:rPr>
        <w:t xml:space="preserve"> </w:t>
      </w:r>
      <w:r w:rsidRPr="003F1D60">
        <w:rPr>
          <w:rFonts w:ascii="Times New Roman" w:hAnsi="Times New Roman"/>
          <w:sz w:val="24"/>
          <w:szCs w:val="24"/>
        </w:rPr>
        <w:t>лице може да прехвърли натрупаните средства по индивидуалната си партида или част</w:t>
      </w:r>
      <w:r w:rsidR="005C5B97">
        <w:rPr>
          <w:rFonts w:ascii="Times New Roman" w:hAnsi="Times New Roman"/>
          <w:sz w:val="24"/>
          <w:szCs w:val="24"/>
        </w:rPr>
        <w:t xml:space="preserve"> </w:t>
      </w:r>
      <w:r w:rsidRPr="003F1D60">
        <w:rPr>
          <w:rFonts w:ascii="Times New Roman" w:hAnsi="Times New Roman"/>
          <w:sz w:val="24"/>
          <w:szCs w:val="24"/>
        </w:rPr>
        <w:t>от тях от един в друг ДПФ не повече от веднъж в рамките на една календарна година.</w:t>
      </w:r>
    </w:p>
    <w:p w14:paraId="1AED54D5" w14:textId="1E21D31E"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В случай на несъгласие с извършени промени в правилника за организацията и</w:t>
      </w:r>
      <w:r w:rsidR="005C5B97">
        <w:rPr>
          <w:rFonts w:ascii="Times New Roman" w:hAnsi="Times New Roman"/>
          <w:sz w:val="24"/>
          <w:szCs w:val="24"/>
        </w:rPr>
        <w:t xml:space="preserve"> </w:t>
      </w:r>
      <w:r w:rsidRPr="003F1D60">
        <w:rPr>
          <w:rFonts w:ascii="Times New Roman" w:hAnsi="Times New Roman"/>
          <w:sz w:val="24"/>
          <w:szCs w:val="24"/>
        </w:rPr>
        <w:t>дейността на ДПФ или в инвестиционната му политика, които не произтичат от</w:t>
      </w:r>
      <w:r w:rsidR="005C5B97">
        <w:rPr>
          <w:rFonts w:ascii="Times New Roman" w:hAnsi="Times New Roman"/>
          <w:sz w:val="24"/>
          <w:szCs w:val="24"/>
        </w:rPr>
        <w:t xml:space="preserve"> </w:t>
      </w:r>
      <w:r w:rsidRPr="003F1D60">
        <w:rPr>
          <w:rFonts w:ascii="Times New Roman" w:hAnsi="Times New Roman"/>
          <w:sz w:val="24"/>
          <w:szCs w:val="24"/>
        </w:rPr>
        <w:t>изменение в нормативната уредба, осигуреното лице има право да прехвърли</w:t>
      </w:r>
      <w:r w:rsidR="005C5B97">
        <w:rPr>
          <w:rFonts w:ascii="Times New Roman" w:hAnsi="Times New Roman"/>
          <w:sz w:val="24"/>
          <w:szCs w:val="24"/>
        </w:rPr>
        <w:t xml:space="preserve"> </w:t>
      </w:r>
      <w:r w:rsidRPr="003F1D60">
        <w:rPr>
          <w:rFonts w:ascii="Times New Roman" w:hAnsi="Times New Roman"/>
          <w:sz w:val="24"/>
          <w:szCs w:val="24"/>
        </w:rPr>
        <w:t>натрупаните средства по индивидуалната си партида в друг ДПФ, ако в тримесечен</w:t>
      </w:r>
      <w:r w:rsidR="005C5B97">
        <w:rPr>
          <w:rFonts w:ascii="Times New Roman" w:hAnsi="Times New Roman"/>
          <w:sz w:val="24"/>
          <w:szCs w:val="24"/>
        </w:rPr>
        <w:t xml:space="preserve"> </w:t>
      </w:r>
      <w:r w:rsidRPr="003F1D60">
        <w:rPr>
          <w:rFonts w:ascii="Times New Roman" w:hAnsi="Times New Roman"/>
          <w:sz w:val="24"/>
          <w:szCs w:val="24"/>
        </w:rPr>
        <w:t>срок от уведомлението за направените промени подаде заявление за това.</w:t>
      </w:r>
    </w:p>
    <w:p w14:paraId="0A897F86" w14:textId="4AB092FF"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Ограничението за прехвърляне не се прилага при прекратяване на осигурителния</w:t>
      </w:r>
      <w:r w:rsidR="005C5B97">
        <w:rPr>
          <w:rFonts w:ascii="Times New Roman" w:hAnsi="Times New Roman"/>
          <w:sz w:val="24"/>
          <w:szCs w:val="24"/>
        </w:rPr>
        <w:t xml:space="preserve"> </w:t>
      </w:r>
      <w:r w:rsidRPr="003F1D60">
        <w:rPr>
          <w:rFonts w:ascii="Times New Roman" w:hAnsi="Times New Roman"/>
          <w:sz w:val="24"/>
          <w:szCs w:val="24"/>
        </w:rPr>
        <w:lastRenderedPageBreak/>
        <w:t>договор и при прекратяване на трудовото отношение с Вас като работодател.</w:t>
      </w:r>
      <w:r w:rsidR="005C5B97">
        <w:rPr>
          <w:rFonts w:ascii="Times New Roman" w:hAnsi="Times New Roman"/>
          <w:sz w:val="24"/>
          <w:szCs w:val="24"/>
        </w:rPr>
        <w:t xml:space="preserve"> </w:t>
      </w:r>
      <w:r w:rsidRPr="003F1D60">
        <w:rPr>
          <w:rFonts w:ascii="Times New Roman" w:hAnsi="Times New Roman"/>
          <w:sz w:val="24"/>
          <w:szCs w:val="24"/>
        </w:rPr>
        <w:t>Направените от Вас като осигурител вноски в полза на Вашите</w:t>
      </w:r>
      <w:r w:rsidR="005C5B97">
        <w:rPr>
          <w:rFonts w:ascii="Times New Roman" w:hAnsi="Times New Roman"/>
          <w:sz w:val="24"/>
          <w:szCs w:val="24"/>
        </w:rPr>
        <w:t xml:space="preserve"> </w:t>
      </w:r>
      <w:r w:rsidRPr="003F1D60">
        <w:rPr>
          <w:rFonts w:ascii="Times New Roman" w:hAnsi="Times New Roman"/>
          <w:sz w:val="24"/>
          <w:szCs w:val="24"/>
        </w:rPr>
        <w:t>работници/служители се признават за разход по ред, начин и в размери, определени</w:t>
      </w:r>
      <w:r w:rsidR="005C5B97">
        <w:rPr>
          <w:rFonts w:ascii="Times New Roman" w:hAnsi="Times New Roman"/>
          <w:sz w:val="24"/>
          <w:szCs w:val="24"/>
        </w:rPr>
        <w:t xml:space="preserve"> </w:t>
      </w:r>
      <w:r w:rsidRPr="003F1D60">
        <w:rPr>
          <w:rFonts w:ascii="Times New Roman" w:hAnsi="Times New Roman"/>
          <w:sz w:val="24"/>
          <w:szCs w:val="24"/>
        </w:rPr>
        <w:t>със Закона за корпоративното подоходно облагане.</w:t>
      </w:r>
    </w:p>
    <w:p w14:paraId="13E2DC88" w14:textId="6A57B188" w:rsidR="003F1D60" w:rsidRP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Приходите от инвестиране на активите на ДПФ, разпределени по индивидуалните</w:t>
      </w:r>
      <w:r w:rsidR="005C5B97">
        <w:rPr>
          <w:rFonts w:ascii="Times New Roman" w:hAnsi="Times New Roman"/>
          <w:sz w:val="24"/>
          <w:szCs w:val="24"/>
        </w:rPr>
        <w:t xml:space="preserve"> </w:t>
      </w:r>
      <w:r w:rsidRPr="003F1D60">
        <w:rPr>
          <w:rFonts w:ascii="Times New Roman" w:hAnsi="Times New Roman"/>
          <w:sz w:val="24"/>
          <w:szCs w:val="24"/>
        </w:rPr>
        <w:t>партиди на осигурените лица, не се облагат с данък по реда на Закона за данъците</w:t>
      </w:r>
      <w:r w:rsidR="005C5B97">
        <w:rPr>
          <w:rFonts w:ascii="Times New Roman" w:hAnsi="Times New Roman"/>
          <w:sz w:val="24"/>
          <w:szCs w:val="24"/>
        </w:rPr>
        <w:t xml:space="preserve"> </w:t>
      </w:r>
      <w:r w:rsidRPr="003F1D60">
        <w:rPr>
          <w:rFonts w:ascii="Times New Roman" w:hAnsi="Times New Roman"/>
          <w:sz w:val="24"/>
          <w:szCs w:val="24"/>
        </w:rPr>
        <w:t>върху доходите на физическите лица.</w:t>
      </w:r>
    </w:p>
    <w:p w14:paraId="1D4A9AC4" w14:textId="77777777" w:rsidR="005C5B97"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Пенсиите, отпускани от ДПФ, не подлежат на данъчно облагане.</w:t>
      </w:r>
    </w:p>
    <w:p w14:paraId="4B8BD039" w14:textId="39321E1C" w:rsidR="003F1D60" w:rsidRDefault="003F1D60" w:rsidP="005C5B97">
      <w:pPr>
        <w:pStyle w:val="LO-Normal"/>
        <w:widowControl w:val="0"/>
        <w:autoSpaceDE w:val="0"/>
        <w:spacing w:after="0" w:line="240" w:lineRule="auto"/>
        <w:ind w:firstLine="480"/>
        <w:jc w:val="both"/>
        <w:rPr>
          <w:rFonts w:ascii="Times New Roman" w:hAnsi="Times New Roman"/>
          <w:sz w:val="24"/>
          <w:szCs w:val="24"/>
        </w:rPr>
      </w:pPr>
      <w:r w:rsidRPr="003F1D60">
        <w:rPr>
          <w:rFonts w:ascii="Times New Roman" w:hAnsi="Times New Roman"/>
          <w:sz w:val="24"/>
          <w:szCs w:val="24"/>
        </w:rPr>
        <w:t>Надзорът върху ПОД се осъществява от Комисията за финансов надзор (КФН) и</w:t>
      </w:r>
      <w:r w:rsidR="005C5B97">
        <w:rPr>
          <w:rFonts w:ascii="Times New Roman" w:hAnsi="Times New Roman"/>
          <w:sz w:val="24"/>
          <w:szCs w:val="24"/>
        </w:rPr>
        <w:t xml:space="preserve"> </w:t>
      </w:r>
      <w:r w:rsidRPr="003F1D60">
        <w:rPr>
          <w:rFonts w:ascii="Times New Roman" w:hAnsi="Times New Roman"/>
          <w:sz w:val="24"/>
          <w:szCs w:val="24"/>
        </w:rPr>
        <w:t>нейния заместник-председател, ръководещ управление „Осигурителен надзор</w:t>
      </w:r>
      <w:r w:rsidR="005C5B97">
        <w:rPr>
          <w:rFonts w:ascii="Times New Roman" w:hAnsi="Times New Roman"/>
          <w:sz w:val="24"/>
          <w:szCs w:val="24"/>
        </w:rPr>
        <w:t>“</w:t>
      </w:r>
      <w:r w:rsidRPr="003F1D60">
        <w:rPr>
          <w:rFonts w:ascii="Times New Roman" w:hAnsi="Times New Roman"/>
          <w:sz w:val="24"/>
          <w:szCs w:val="24"/>
        </w:rPr>
        <w:t>.</w:t>
      </w:r>
    </w:p>
    <w:p w14:paraId="57F2F215" w14:textId="77777777" w:rsidR="003F1D60" w:rsidRDefault="003F1D60">
      <w:pPr>
        <w:pStyle w:val="LO-Normal"/>
        <w:widowControl w:val="0"/>
        <w:autoSpaceDE w:val="0"/>
        <w:spacing w:after="0" w:line="240" w:lineRule="auto"/>
        <w:ind w:firstLine="480"/>
        <w:jc w:val="both"/>
      </w:pPr>
    </w:p>
    <w:p w14:paraId="270BA337" w14:textId="77777777" w:rsidR="00AA10DD" w:rsidRDefault="00366995">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ІІ. Основни характеристики на пенсионния фонд</w:t>
      </w:r>
    </w:p>
    <w:p w14:paraId="04814DD9"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p w14:paraId="6F9441A4" w14:textId="77777777"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1. Осигурителни плащания</w:t>
      </w:r>
    </w:p>
    <w:p w14:paraId="25A7192E" w14:textId="69C466C8" w:rsidR="00AA10DD" w:rsidRPr="006B6B71" w:rsidRDefault="00366995">
      <w:pPr>
        <w:pStyle w:val="LO-Normal"/>
        <w:widowControl w:val="0"/>
        <w:autoSpaceDE w:val="0"/>
        <w:spacing w:after="0" w:line="240" w:lineRule="auto"/>
        <w:ind w:firstLine="480"/>
        <w:jc w:val="both"/>
      </w:pPr>
      <w:r w:rsidRPr="006B6B71">
        <w:rPr>
          <w:rFonts w:ascii="Times New Roman" w:hAnsi="Times New Roman"/>
          <w:sz w:val="24"/>
          <w:szCs w:val="24"/>
        </w:rPr>
        <w:t>При осигуряване в „ДПФ</w:t>
      </w:r>
      <w:r w:rsidR="005C5B97" w:rsidRPr="006B6B71">
        <w:rPr>
          <w:rFonts w:ascii="Times New Roman" w:hAnsi="Times New Roman"/>
          <w:sz w:val="24"/>
          <w:szCs w:val="24"/>
        </w:rPr>
        <w:t>-</w:t>
      </w:r>
      <w:r w:rsidRPr="006B6B71">
        <w:rPr>
          <w:rFonts w:ascii="Times New Roman" w:hAnsi="Times New Roman"/>
          <w:sz w:val="24"/>
          <w:szCs w:val="24"/>
        </w:rPr>
        <w:t>БЪДЕЩЕ“ Вие имате право на следните осигурителни плащания:</w:t>
      </w:r>
    </w:p>
    <w:p w14:paraId="71B13658" w14:textId="64D172DB" w:rsidR="00AA10DD" w:rsidRPr="006B6B71" w:rsidRDefault="00366995" w:rsidP="005C5B97">
      <w:pPr>
        <w:pStyle w:val="LO-Normal"/>
        <w:widowControl w:val="0"/>
        <w:numPr>
          <w:ilvl w:val="0"/>
          <w:numId w:val="4"/>
        </w:numPr>
        <w:autoSpaceDE w:val="0"/>
        <w:spacing w:after="0" w:line="240" w:lineRule="auto"/>
        <w:jc w:val="both"/>
        <w:rPr>
          <w:rFonts w:ascii="Times New Roman" w:hAnsi="Times New Roman"/>
          <w:sz w:val="24"/>
          <w:szCs w:val="24"/>
        </w:rPr>
      </w:pPr>
      <w:r w:rsidRPr="006B6B71">
        <w:rPr>
          <w:rFonts w:ascii="Times New Roman" w:hAnsi="Times New Roman"/>
          <w:sz w:val="24"/>
          <w:szCs w:val="24"/>
        </w:rPr>
        <w:t>лична срочна пенсия за старост;</w:t>
      </w:r>
    </w:p>
    <w:p w14:paraId="378A98D2" w14:textId="59A44499" w:rsidR="00AA10DD" w:rsidRPr="006B6B71" w:rsidRDefault="00366995" w:rsidP="005C5B97">
      <w:pPr>
        <w:pStyle w:val="LO-Normal"/>
        <w:widowControl w:val="0"/>
        <w:numPr>
          <w:ilvl w:val="0"/>
          <w:numId w:val="4"/>
        </w:numPr>
        <w:autoSpaceDE w:val="0"/>
        <w:spacing w:after="0" w:line="240" w:lineRule="auto"/>
        <w:jc w:val="both"/>
        <w:rPr>
          <w:rFonts w:ascii="Times New Roman" w:hAnsi="Times New Roman"/>
          <w:sz w:val="24"/>
          <w:szCs w:val="24"/>
        </w:rPr>
      </w:pPr>
      <w:r w:rsidRPr="006B6B71">
        <w:rPr>
          <w:rFonts w:ascii="Times New Roman" w:hAnsi="Times New Roman"/>
          <w:sz w:val="24"/>
          <w:szCs w:val="24"/>
        </w:rPr>
        <w:t>лична срочна пенсия за инвалидност;</w:t>
      </w:r>
    </w:p>
    <w:p w14:paraId="646F4503" w14:textId="7037B806" w:rsidR="00AA10DD" w:rsidRPr="006B6B71" w:rsidRDefault="00366995" w:rsidP="005C5B97">
      <w:pPr>
        <w:pStyle w:val="LO-Normal"/>
        <w:widowControl w:val="0"/>
        <w:numPr>
          <w:ilvl w:val="0"/>
          <w:numId w:val="4"/>
        </w:numPr>
        <w:autoSpaceDE w:val="0"/>
        <w:spacing w:after="0" w:line="240" w:lineRule="auto"/>
        <w:jc w:val="both"/>
        <w:rPr>
          <w:rFonts w:ascii="Times New Roman" w:hAnsi="Times New Roman"/>
          <w:sz w:val="24"/>
          <w:szCs w:val="24"/>
        </w:rPr>
      </w:pPr>
      <w:r w:rsidRPr="006B6B71">
        <w:rPr>
          <w:rFonts w:ascii="Times New Roman" w:hAnsi="Times New Roman"/>
          <w:sz w:val="24"/>
          <w:szCs w:val="24"/>
        </w:rPr>
        <w:t>еднократно или разсрочено изплащане на натрупаните средства по</w:t>
      </w:r>
      <w:r w:rsidR="005C5B97" w:rsidRPr="006B6B71">
        <w:rPr>
          <w:rFonts w:ascii="Times New Roman" w:hAnsi="Times New Roman"/>
          <w:sz w:val="24"/>
          <w:szCs w:val="24"/>
        </w:rPr>
        <w:t xml:space="preserve"> </w:t>
      </w:r>
      <w:r w:rsidRPr="006B6B71">
        <w:rPr>
          <w:rFonts w:ascii="Times New Roman" w:hAnsi="Times New Roman"/>
          <w:sz w:val="24"/>
          <w:szCs w:val="24"/>
        </w:rPr>
        <w:t>индивидуалната партида;</w:t>
      </w:r>
    </w:p>
    <w:p w14:paraId="1BB76F3D" w14:textId="0BC83DA8" w:rsidR="00AA10DD" w:rsidRPr="006B6B71" w:rsidRDefault="00366995" w:rsidP="00E56877">
      <w:pPr>
        <w:pStyle w:val="LO-Normal"/>
        <w:widowControl w:val="0"/>
        <w:numPr>
          <w:ilvl w:val="0"/>
          <w:numId w:val="4"/>
        </w:numPr>
        <w:autoSpaceDE w:val="0"/>
        <w:spacing w:after="0" w:line="240" w:lineRule="auto"/>
        <w:jc w:val="both"/>
      </w:pPr>
      <w:r w:rsidRPr="006B6B71">
        <w:rPr>
          <w:rFonts w:ascii="Times New Roman" w:hAnsi="Times New Roman"/>
          <w:sz w:val="24"/>
          <w:szCs w:val="24"/>
        </w:rPr>
        <w:t>наследствена пенсия  – при смърт на осигуреното лице или на лице, което получава пенсия;</w:t>
      </w:r>
    </w:p>
    <w:p w14:paraId="67334742" w14:textId="2A6D26B3" w:rsidR="00AA10DD" w:rsidRDefault="00366995" w:rsidP="00E56877">
      <w:pPr>
        <w:pStyle w:val="LO-Normal"/>
        <w:widowControl w:val="0"/>
        <w:numPr>
          <w:ilvl w:val="0"/>
          <w:numId w:val="4"/>
        </w:numPr>
        <w:autoSpaceDE w:val="0"/>
        <w:spacing w:after="0" w:line="240" w:lineRule="auto"/>
        <w:jc w:val="both"/>
        <w:rPr>
          <w:rFonts w:ascii="Times New Roman" w:hAnsi="Times New Roman"/>
          <w:sz w:val="24"/>
          <w:szCs w:val="24"/>
        </w:rPr>
      </w:pPr>
      <w:r>
        <w:rPr>
          <w:rFonts w:ascii="Times New Roman" w:hAnsi="Times New Roman"/>
          <w:sz w:val="24"/>
          <w:szCs w:val="24"/>
        </w:rPr>
        <w:t>еднократно или разсрочено изплащане на средства на наследниците на починало осигурено лице или на пенсионер.</w:t>
      </w:r>
    </w:p>
    <w:p w14:paraId="668304A1" w14:textId="77777777" w:rsidR="00E56877" w:rsidRDefault="00E56877" w:rsidP="00E56877">
      <w:pPr>
        <w:pStyle w:val="LO-Normal"/>
        <w:widowControl w:val="0"/>
        <w:autoSpaceDE w:val="0"/>
        <w:spacing w:after="0" w:line="240" w:lineRule="auto"/>
        <w:ind w:left="1200"/>
        <w:jc w:val="both"/>
        <w:rPr>
          <w:rFonts w:ascii="Times New Roman" w:hAnsi="Times New Roman"/>
          <w:sz w:val="24"/>
          <w:szCs w:val="24"/>
        </w:rPr>
      </w:pPr>
    </w:p>
    <w:p w14:paraId="35418F7C" w14:textId="77777777"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2. Основни данни за инвестициите на пенсионния фонд</w:t>
      </w:r>
    </w:p>
    <w:p w14:paraId="2F2A6017" w14:textId="77777777" w:rsidR="00AA10DD" w:rsidRPr="00E56877" w:rsidRDefault="00366995">
      <w:pPr>
        <w:pStyle w:val="LO-Normal"/>
        <w:widowControl w:val="0"/>
        <w:autoSpaceDE w:val="0"/>
        <w:spacing w:after="0" w:line="240" w:lineRule="auto"/>
        <w:ind w:firstLine="480"/>
        <w:jc w:val="both"/>
        <w:rPr>
          <w:b/>
          <w:bCs/>
        </w:rPr>
      </w:pPr>
      <w:r w:rsidRPr="00E56877">
        <w:rPr>
          <w:rFonts w:ascii="Times New Roman" w:hAnsi="Times New Roman"/>
          <w:b/>
          <w:bCs/>
          <w:sz w:val="24"/>
          <w:szCs w:val="24"/>
        </w:rPr>
        <w:t>2.1. Инвестиционни цели на фонда:</w:t>
      </w:r>
    </w:p>
    <w:p w14:paraId="07B5163F" w14:textId="77777777" w:rsidR="00AA10DD" w:rsidRDefault="00366995" w:rsidP="00C85F93">
      <w:pPr>
        <w:pStyle w:val="LO-Normal"/>
        <w:widowControl w:val="0"/>
        <w:autoSpaceDE w:val="0"/>
        <w:spacing w:after="0" w:line="240" w:lineRule="auto"/>
        <w:ind w:firstLine="426"/>
        <w:jc w:val="both"/>
        <w:rPr>
          <w:rFonts w:ascii="Times New Roman" w:hAnsi="Times New Roman"/>
          <w:sz w:val="24"/>
          <w:szCs w:val="24"/>
        </w:rPr>
      </w:pPr>
      <w:r>
        <w:rPr>
          <w:rFonts w:ascii="Times New Roman" w:hAnsi="Times New Roman"/>
          <w:sz w:val="24"/>
          <w:szCs w:val="24"/>
        </w:rPr>
        <w:t>1. Формиране на оптимално структуриран инвестиционен портфейл – балансирана структура с преобладаващо участие на дългови инструменти и ценни книжа, търгувани на регулирани пазари.</w:t>
      </w:r>
    </w:p>
    <w:p w14:paraId="492311BA" w14:textId="189CE8E5" w:rsidR="00AA10DD" w:rsidRDefault="00C85F93" w:rsidP="00C85F93">
      <w:pPr>
        <w:pStyle w:val="LO-Normal"/>
        <w:widowControl w:val="0"/>
        <w:shd w:val="clear" w:color="auto" w:fill="FFFFFF"/>
        <w:tabs>
          <w:tab w:val="left" w:pos="226"/>
        </w:tabs>
        <w:autoSpaceDE w:val="0"/>
        <w:spacing w:after="0" w:line="240" w:lineRule="auto"/>
        <w:ind w:left="202" w:firstLine="426"/>
        <w:rPr>
          <w:rFonts w:ascii="Times New Roman" w:hAnsi="Times New Roman"/>
          <w:sz w:val="24"/>
          <w:szCs w:val="24"/>
        </w:rPr>
      </w:pPr>
      <w:r>
        <w:rPr>
          <w:rFonts w:ascii="Times New Roman" w:hAnsi="Times New Roman"/>
          <w:sz w:val="24"/>
          <w:szCs w:val="24"/>
        </w:rPr>
        <w:t xml:space="preserve">2. </w:t>
      </w:r>
      <w:r w:rsidR="00366995">
        <w:rPr>
          <w:rFonts w:ascii="Times New Roman" w:hAnsi="Times New Roman"/>
          <w:sz w:val="24"/>
          <w:szCs w:val="24"/>
        </w:rPr>
        <w:t>Активно управление на портфейла;</w:t>
      </w:r>
    </w:p>
    <w:p w14:paraId="616BF82A" w14:textId="37D34E61" w:rsidR="00AA10DD" w:rsidRDefault="00C85F93" w:rsidP="00C85F93">
      <w:pPr>
        <w:pStyle w:val="LO-Normal"/>
        <w:widowControl w:val="0"/>
        <w:shd w:val="clear" w:color="auto" w:fill="FFFFFF"/>
        <w:tabs>
          <w:tab w:val="left" w:pos="226"/>
        </w:tabs>
        <w:autoSpaceDE w:val="0"/>
        <w:spacing w:after="0" w:line="240" w:lineRule="auto"/>
        <w:ind w:left="202" w:firstLine="426"/>
        <w:rPr>
          <w:rFonts w:ascii="Times New Roman" w:hAnsi="Times New Roman"/>
          <w:sz w:val="24"/>
          <w:szCs w:val="24"/>
        </w:rPr>
      </w:pPr>
      <w:r>
        <w:rPr>
          <w:rFonts w:ascii="Times New Roman" w:hAnsi="Times New Roman"/>
          <w:sz w:val="24"/>
          <w:szCs w:val="24"/>
        </w:rPr>
        <w:t xml:space="preserve">3. </w:t>
      </w:r>
      <w:r w:rsidR="00366995">
        <w:rPr>
          <w:rFonts w:ascii="Times New Roman" w:hAnsi="Times New Roman"/>
          <w:sz w:val="24"/>
          <w:szCs w:val="24"/>
        </w:rPr>
        <w:t>Постигане на реален растеж на стойността на активите и максимизиране на тяхната възвращаемост;</w:t>
      </w:r>
    </w:p>
    <w:p w14:paraId="061C5D2C" w14:textId="59DB85B2" w:rsidR="00AA10DD" w:rsidRDefault="00C85F93" w:rsidP="00C85F93">
      <w:pPr>
        <w:pStyle w:val="LO-Normal"/>
        <w:widowControl w:val="0"/>
        <w:shd w:val="clear" w:color="auto" w:fill="FFFFFF"/>
        <w:tabs>
          <w:tab w:val="left" w:pos="226"/>
        </w:tabs>
        <w:autoSpaceDE w:val="0"/>
        <w:spacing w:after="0" w:line="240" w:lineRule="auto"/>
        <w:ind w:right="1258" w:firstLine="426"/>
        <w:jc w:val="both"/>
        <w:rPr>
          <w:rFonts w:ascii="Times New Roman" w:hAnsi="Times New Roman"/>
          <w:sz w:val="24"/>
          <w:szCs w:val="24"/>
        </w:rPr>
      </w:pPr>
      <w:r>
        <w:rPr>
          <w:rFonts w:ascii="Times New Roman" w:hAnsi="Times New Roman"/>
          <w:sz w:val="24"/>
          <w:szCs w:val="24"/>
        </w:rPr>
        <w:t xml:space="preserve">4. </w:t>
      </w:r>
      <w:r w:rsidR="00366995">
        <w:rPr>
          <w:rFonts w:ascii="Times New Roman" w:hAnsi="Times New Roman"/>
          <w:sz w:val="24"/>
          <w:szCs w:val="24"/>
        </w:rPr>
        <w:t>Получаване на доходност, по-висока от средната доходност, постигната от доброволните пенсионни фондове (индекс VOLIDEX);</w:t>
      </w:r>
    </w:p>
    <w:p w14:paraId="092F0268" w14:textId="1D93E5BD" w:rsidR="00AA10DD" w:rsidRDefault="00C85F93" w:rsidP="00C85F93">
      <w:pPr>
        <w:pStyle w:val="LO-Normal"/>
        <w:widowControl w:val="0"/>
        <w:shd w:val="clear" w:color="auto" w:fill="FFFFFF"/>
        <w:tabs>
          <w:tab w:val="left" w:pos="226"/>
        </w:tabs>
        <w:autoSpaceDE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00366995">
        <w:rPr>
          <w:rFonts w:ascii="Times New Roman" w:hAnsi="Times New Roman"/>
          <w:sz w:val="24"/>
          <w:szCs w:val="24"/>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6B7C03B4" w14:textId="34E79BF8" w:rsidR="00AA10DD" w:rsidRDefault="00C85F93" w:rsidP="00C85F93">
      <w:pPr>
        <w:pStyle w:val="LO-Normal"/>
        <w:widowControl w:val="0"/>
        <w:shd w:val="clear" w:color="auto" w:fill="FFFFFF"/>
        <w:tabs>
          <w:tab w:val="left" w:pos="9214"/>
        </w:tabs>
        <w:autoSpaceDE w:val="0"/>
        <w:spacing w:after="0" w:line="240" w:lineRule="auto"/>
        <w:ind w:right="83" w:firstLine="426"/>
        <w:jc w:val="both"/>
        <w:rPr>
          <w:rFonts w:ascii="Times New Roman" w:hAnsi="Times New Roman"/>
          <w:sz w:val="24"/>
          <w:szCs w:val="24"/>
        </w:rPr>
      </w:pPr>
      <w:r>
        <w:rPr>
          <w:rFonts w:ascii="Times New Roman" w:hAnsi="Times New Roman"/>
          <w:sz w:val="24"/>
          <w:szCs w:val="24"/>
        </w:rPr>
        <w:t>6</w:t>
      </w:r>
      <w:r w:rsidR="005F2855">
        <w:rPr>
          <w:rFonts w:ascii="Times New Roman" w:hAnsi="Times New Roman"/>
          <w:sz w:val="24"/>
          <w:szCs w:val="24"/>
        </w:rPr>
        <w:t>.</w:t>
      </w:r>
      <w:r w:rsidR="00366995">
        <w:rPr>
          <w:rFonts w:ascii="Times New Roman" w:hAnsi="Times New Roman"/>
          <w:sz w:val="24"/>
          <w:szCs w:val="24"/>
        </w:rPr>
        <w:t xml:space="preserve"> 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0FA70BE0" w14:textId="57116A6B" w:rsidR="00AA10DD" w:rsidRDefault="00C85F93" w:rsidP="00C85F93">
      <w:pPr>
        <w:pStyle w:val="LO-Normal"/>
        <w:widowControl w:val="0"/>
        <w:shd w:val="clear" w:color="auto" w:fill="FFFFFF"/>
        <w:autoSpaceDE w:val="0"/>
        <w:spacing w:after="0" w:line="240" w:lineRule="auto"/>
        <w:ind w:firstLine="426"/>
        <w:jc w:val="both"/>
        <w:rPr>
          <w:rFonts w:ascii="Times New Roman" w:hAnsi="Times New Roman"/>
          <w:sz w:val="24"/>
          <w:szCs w:val="24"/>
        </w:rPr>
      </w:pPr>
      <w:r>
        <w:rPr>
          <w:rFonts w:ascii="Times New Roman" w:hAnsi="Times New Roman"/>
          <w:sz w:val="24"/>
          <w:szCs w:val="24"/>
        </w:rPr>
        <w:t xml:space="preserve">7 </w:t>
      </w:r>
      <w:r w:rsidR="005F2855">
        <w:rPr>
          <w:rFonts w:ascii="Times New Roman" w:hAnsi="Times New Roman"/>
          <w:sz w:val="24"/>
          <w:szCs w:val="24"/>
        </w:rPr>
        <w:t>.</w:t>
      </w:r>
      <w:r w:rsidR="00366995">
        <w:rPr>
          <w:rFonts w:ascii="Times New Roman" w:hAnsi="Times New Roman"/>
          <w:sz w:val="24"/>
          <w:szCs w:val="24"/>
        </w:rPr>
        <w:t>Осъществяване на текущ контрол на постъпилите средства във ФОНДА и навременното им инвестиране във финансови инструменти.</w:t>
      </w:r>
    </w:p>
    <w:p w14:paraId="167F510A" w14:textId="7D4BCA22" w:rsidR="00AA10DD" w:rsidRDefault="00C85F93" w:rsidP="00C85F93">
      <w:pPr>
        <w:pStyle w:val="LO-Normal"/>
        <w:widowControl w:val="0"/>
        <w:shd w:val="clear" w:color="auto" w:fill="FFFFFF"/>
        <w:tabs>
          <w:tab w:val="left" w:pos="283"/>
        </w:tabs>
        <w:autoSpaceDE w:val="0"/>
        <w:spacing w:after="0" w:line="240" w:lineRule="auto"/>
        <w:ind w:firstLine="426"/>
        <w:jc w:val="both"/>
        <w:rPr>
          <w:rFonts w:ascii="Times New Roman" w:hAnsi="Times New Roman"/>
          <w:sz w:val="24"/>
          <w:szCs w:val="24"/>
        </w:rPr>
      </w:pPr>
      <w:r>
        <w:rPr>
          <w:rFonts w:ascii="Times New Roman" w:hAnsi="Times New Roman"/>
          <w:sz w:val="24"/>
          <w:szCs w:val="24"/>
        </w:rPr>
        <w:t xml:space="preserve">8. </w:t>
      </w:r>
      <w:r w:rsidR="00366995">
        <w:rPr>
          <w:rFonts w:ascii="Times New Roman" w:hAnsi="Times New Roman"/>
          <w:sz w:val="24"/>
          <w:szCs w:val="24"/>
        </w:rPr>
        <w:t xml:space="preserve">Спазване на принципа на строгост относно съществуващите нормативни изисквания за лимити, ограничения и забрани при инвестициите във финансови </w:t>
      </w:r>
      <w:r w:rsidR="00366995">
        <w:rPr>
          <w:rFonts w:ascii="Times New Roman" w:hAnsi="Times New Roman"/>
          <w:sz w:val="24"/>
          <w:szCs w:val="24"/>
        </w:rPr>
        <w:lastRenderedPageBreak/>
        <w:t>инструменти.</w:t>
      </w:r>
    </w:p>
    <w:p w14:paraId="2D54BD1B" w14:textId="77777777"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2.2. Инвестиционни ограничения съгласно инвестиционната политика на фонда</w:t>
      </w:r>
    </w:p>
    <w:tbl>
      <w:tblPr>
        <w:tblW w:w="9795" w:type="dxa"/>
        <w:tblCellMar>
          <w:left w:w="10" w:type="dxa"/>
          <w:right w:w="10" w:type="dxa"/>
        </w:tblCellMar>
        <w:tblLook w:val="04A0" w:firstRow="1" w:lastRow="0" w:firstColumn="1" w:lastColumn="0" w:noHBand="0" w:noVBand="1"/>
      </w:tblPr>
      <w:tblGrid>
        <w:gridCol w:w="50"/>
        <w:gridCol w:w="521"/>
        <w:gridCol w:w="4109"/>
        <w:gridCol w:w="4392"/>
        <w:gridCol w:w="723"/>
      </w:tblGrid>
      <w:tr w:rsidR="00AA10DD" w14:paraId="195B7A9F" w14:textId="77777777">
        <w:tc>
          <w:tcPr>
            <w:tcW w:w="50" w:type="dxa"/>
          </w:tcPr>
          <w:p w14:paraId="26E791CC"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tc>
        <w:tc>
          <w:tcPr>
            <w:tcW w:w="9745" w:type="dxa"/>
            <w:gridSpan w:val="4"/>
            <w:tcMar>
              <w:top w:w="15" w:type="dxa"/>
              <w:left w:w="15" w:type="dxa"/>
              <w:bottom w:w="15" w:type="dxa"/>
              <w:right w:w="15" w:type="dxa"/>
            </w:tcMar>
            <w:vAlign w:val="center"/>
          </w:tcPr>
          <w:p w14:paraId="1CD1028C"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tc>
      </w:tr>
      <w:tr w:rsidR="00AA10DD" w:rsidRPr="00AA1C9E" w14:paraId="398679CB" w14:textId="77777777">
        <w:trPr>
          <w:trHeight w:hRule="exact" w:val="67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7BDD5B" w14:textId="77777777" w:rsidR="00AA10DD" w:rsidRPr="00AA1C9E" w:rsidRDefault="00366995">
            <w:pPr>
              <w:pStyle w:val="LO-Normal"/>
              <w:shd w:val="clear" w:color="auto" w:fill="FFFFFF"/>
            </w:pPr>
            <w:r w:rsidRPr="00AA1C9E">
              <w:rPr>
                <w:rFonts w:ascii="Times New Roman" w:hAnsi="Times New Roman"/>
                <w:color w:val="000000"/>
                <w:sz w:val="24"/>
                <w:szCs w:val="24"/>
              </w:rPr>
              <w:t>№</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BE7E3B8" w14:textId="77777777" w:rsidR="00AA10DD" w:rsidRPr="00AA1C9E" w:rsidRDefault="00366995">
            <w:pPr>
              <w:pStyle w:val="LO-Normal"/>
              <w:shd w:val="clear" w:color="auto" w:fill="FFFFFF"/>
            </w:pPr>
            <w:r w:rsidRPr="00AA1C9E">
              <w:rPr>
                <w:rFonts w:ascii="Times New Roman" w:hAnsi="Times New Roman"/>
                <w:color w:val="000000"/>
                <w:sz w:val="24"/>
                <w:szCs w:val="24"/>
              </w:rPr>
              <w:t>Инвестиционни инструменти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FDED740" w14:textId="77777777" w:rsidR="00C85F93" w:rsidRDefault="00366995" w:rsidP="00C85F93">
            <w:pPr>
              <w:pStyle w:val="LO-Normal"/>
              <w:shd w:val="clear" w:color="auto" w:fill="FFFFFF"/>
              <w:spacing w:after="0"/>
              <w:jc w:val="center"/>
              <w:rPr>
                <w:rFonts w:ascii="Times New Roman" w:hAnsi="Times New Roman"/>
                <w:color w:val="000000"/>
                <w:spacing w:val="-1"/>
                <w:sz w:val="24"/>
                <w:szCs w:val="24"/>
              </w:rPr>
            </w:pPr>
            <w:r w:rsidRPr="00AA1C9E">
              <w:rPr>
                <w:rFonts w:ascii="Times New Roman" w:hAnsi="Times New Roman"/>
                <w:color w:val="000000"/>
                <w:spacing w:val="-1"/>
                <w:sz w:val="24"/>
                <w:szCs w:val="24"/>
              </w:rPr>
              <w:t xml:space="preserve">Инвестиционни ограничения </w:t>
            </w:r>
          </w:p>
          <w:p w14:paraId="6A17E6C1" w14:textId="4AEA76DD" w:rsidR="00AA10DD" w:rsidRPr="00AA1C9E" w:rsidRDefault="00366995" w:rsidP="00C85F93">
            <w:pPr>
              <w:pStyle w:val="LO-Normal"/>
              <w:shd w:val="clear" w:color="auto" w:fill="FFFFFF"/>
              <w:spacing w:after="0"/>
              <w:jc w:val="center"/>
            </w:pPr>
            <w:r w:rsidRPr="00AA1C9E">
              <w:rPr>
                <w:rFonts w:ascii="Times New Roman" w:hAnsi="Times New Roman"/>
                <w:color w:val="000000"/>
                <w:spacing w:val="-1"/>
                <w:sz w:val="24"/>
                <w:szCs w:val="24"/>
              </w:rPr>
              <w:t>( % от активите)</w:t>
            </w:r>
          </w:p>
        </w:tc>
        <w:tc>
          <w:tcPr>
            <w:tcW w:w="723" w:type="dxa"/>
          </w:tcPr>
          <w:p w14:paraId="31FC5CF2" w14:textId="77777777" w:rsidR="00AA10DD" w:rsidRPr="00AA1C9E" w:rsidRDefault="00AA10DD">
            <w:pPr>
              <w:pStyle w:val="LO-Normal"/>
              <w:shd w:val="clear" w:color="auto" w:fill="FFFFFF"/>
              <w:jc w:val="center"/>
            </w:pPr>
          </w:p>
        </w:tc>
      </w:tr>
      <w:tr w:rsidR="00AA10DD" w:rsidRPr="00AA1C9E" w14:paraId="512B8D9C" w14:textId="77777777">
        <w:trPr>
          <w:trHeight w:hRule="exact" w:val="34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FB3E54" w14:textId="77777777" w:rsidR="00AA10DD" w:rsidRPr="00AA1C9E" w:rsidRDefault="00366995">
            <w:pPr>
              <w:pStyle w:val="LO-Normal"/>
              <w:shd w:val="clear" w:color="auto" w:fill="FFFFFF"/>
            </w:pPr>
            <w:r w:rsidRPr="00AA1C9E">
              <w:rPr>
                <w:rFonts w:ascii="Times New Roman" w:hAnsi="Times New Roman"/>
                <w:color w:val="000000"/>
                <w:sz w:val="24"/>
                <w:szCs w:val="24"/>
              </w:rPr>
              <w:t>1</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F9317B3" w14:textId="77777777" w:rsidR="00AA10DD" w:rsidRPr="00AA1C9E" w:rsidRDefault="00366995">
            <w:pPr>
              <w:pStyle w:val="LO-Normal"/>
              <w:shd w:val="clear" w:color="auto" w:fill="FFFFFF"/>
            </w:pPr>
            <w:r w:rsidRPr="00AA1C9E">
              <w:rPr>
                <w:rFonts w:ascii="Times New Roman" w:hAnsi="Times New Roman"/>
                <w:color w:val="000000"/>
                <w:sz w:val="24"/>
                <w:szCs w:val="24"/>
              </w:rPr>
              <w:t>Дългови ценни книжа</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00F92E" w14:textId="77777777" w:rsidR="00AA10DD" w:rsidRPr="00AA1C9E" w:rsidRDefault="001970C6">
            <w:pPr>
              <w:pStyle w:val="LO-Normal"/>
              <w:shd w:val="clear" w:color="auto" w:fill="FFFFFF"/>
              <w:jc w:val="center"/>
            </w:pPr>
            <w:r w:rsidRPr="00AA1C9E">
              <w:rPr>
                <w:rFonts w:ascii="Times New Roman" w:hAnsi="Times New Roman"/>
                <w:color w:val="000000"/>
                <w:sz w:val="24"/>
                <w:szCs w:val="24"/>
              </w:rPr>
              <w:t>100</w:t>
            </w:r>
          </w:p>
        </w:tc>
        <w:tc>
          <w:tcPr>
            <w:tcW w:w="723" w:type="dxa"/>
          </w:tcPr>
          <w:p w14:paraId="65643AAB" w14:textId="77777777" w:rsidR="00AA10DD" w:rsidRPr="00AA1C9E" w:rsidRDefault="00AA10DD">
            <w:pPr>
              <w:pStyle w:val="LO-Normal"/>
              <w:shd w:val="clear" w:color="auto" w:fill="FFFFFF"/>
              <w:jc w:val="center"/>
            </w:pPr>
          </w:p>
        </w:tc>
      </w:tr>
      <w:tr w:rsidR="00AA10DD" w:rsidRPr="00AA1C9E" w14:paraId="4D78AF6E" w14:textId="77777777">
        <w:trPr>
          <w:trHeight w:hRule="exact" w:val="565"/>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E46B32" w14:textId="77777777" w:rsidR="00AA10DD" w:rsidRPr="00AA1C9E" w:rsidRDefault="00366995">
            <w:pPr>
              <w:pStyle w:val="LO-Normal"/>
              <w:shd w:val="clear" w:color="auto" w:fill="FFFFFF"/>
            </w:pPr>
            <w:r w:rsidRPr="00AA1C9E">
              <w:rPr>
                <w:rFonts w:ascii="Times New Roman" w:hAnsi="Times New Roman"/>
                <w:color w:val="000000"/>
                <w:sz w:val="24"/>
                <w:szCs w:val="24"/>
              </w:rPr>
              <w:t>2</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BF1289D" w14:textId="77777777" w:rsidR="00AA10DD" w:rsidRPr="00AA1C9E" w:rsidRDefault="00366995">
            <w:pPr>
              <w:pStyle w:val="LO-Normal"/>
              <w:shd w:val="clear" w:color="auto" w:fill="FFFFFF"/>
            </w:pPr>
            <w:r w:rsidRPr="00AA1C9E">
              <w:rPr>
                <w:rFonts w:ascii="Times New Roman" w:hAnsi="Times New Roman"/>
                <w:color w:val="000000"/>
                <w:spacing w:val="-1"/>
                <w:sz w:val="24"/>
                <w:szCs w:val="24"/>
              </w:rPr>
              <w:t>Дялови ценни книжа (акции, права и дялове)</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B00BDE" w14:textId="77777777" w:rsidR="00AA10DD" w:rsidRPr="00AA1C9E" w:rsidRDefault="001970C6">
            <w:pPr>
              <w:pStyle w:val="LO-Normal"/>
              <w:shd w:val="clear" w:color="auto" w:fill="FFFFFF"/>
              <w:jc w:val="center"/>
            </w:pPr>
            <w:r w:rsidRPr="00AA1C9E">
              <w:rPr>
                <w:rFonts w:ascii="Times New Roman" w:hAnsi="Times New Roman"/>
                <w:color w:val="000000"/>
                <w:sz w:val="24"/>
                <w:szCs w:val="24"/>
              </w:rPr>
              <w:t>100</w:t>
            </w:r>
          </w:p>
        </w:tc>
        <w:tc>
          <w:tcPr>
            <w:tcW w:w="723" w:type="dxa"/>
          </w:tcPr>
          <w:p w14:paraId="05C40ECE" w14:textId="77777777" w:rsidR="00AA10DD" w:rsidRPr="00AA1C9E" w:rsidRDefault="00AA10DD">
            <w:pPr>
              <w:pStyle w:val="LO-Normal"/>
              <w:shd w:val="clear" w:color="auto" w:fill="FFFFFF"/>
              <w:jc w:val="center"/>
            </w:pPr>
          </w:p>
        </w:tc>
      </w:tr>
      <w:tr w:rsidR="00AA10DD" w:rsidRPr="00AA1C9E" w14:paraId="45FD5B2E" w14:textId="77777777">
        <w:trPr>
          <w:trHeight w:hRule="exact" w:val="30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9EEEA73" w14:textId="77777777" w:rsidR="00AA10DD" w:rsidRPr="00AA1C9E" w:rsidRDefault="00366995">
            <w:pPr>
              <w:pStyle w:val="LO-Normal"/>
              <w:shd w:val="clear" w:color="auto" w:fill="FFFFFF"/>
            </w:pPr>
            <w:r w:rsidRPr="00AA1C9E">
              <w:rPr>
                <w:rFonts w:ascii="Times New Roman" w:hAnsi="Times New Roman"/>
                <w:color w:val="000000"/>
                <w:sz w:val="24"/>
                <w:szCs w:val="24"/>
              </w:rPr>
              <w:t>3</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DA50F4C" w14:textId="77777777" w:rsidR="00AA10DD" w:rsidRPr="00AA1C9E" w:rsidRDefault="00366995">
            <w:pPr>
              <w:pStyle w:val="LO-Normal"/>
              <w:shd w:val="clear" w:color="auto" w:fill="FFFFFF"/>
            </w:pPr>
            <w:r w:rsidRPr="00AA1C9E">
              <w:rPr>
                <w:rFonts w:ascii="Times New Roman" w:hAnsi="Times New Roman"/>
                <w:color w:val="000000"/>
                <w:sz w:val="24"/>
                <w:szCs w:val="24"/>
              </w:rPr>
              <w:t>Банкови депозити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048C86D" w14:textId="77777777" w:rsidR="00AA10DD" w:rsidRPr="00AA1C9E" w:rsidRDefault="001970C6">
            <w:pPr>
              <w:pStyle w:val="LO-Normal"/>
              <w:shd w:val="clear" w:color="auto" w:fill="FFFFFF"/>
              <w:jc w:val="center"/>
            </w:pPr>
            <w:r w:rsidRPr="00AA1C9E">
              <w:rPr>
                <w:rFonts w:ascii="Times New Roman" w:hAnsi="Times New Roman"/>
                <w:color w:val="000000"/>
                <w:sz w:val="24"/>
                <w:szCs w:val="24"/>
              </w:rPr>
              <w:t>5</w:t>
            </w:r>
            <w:r w:rsidR="00366995" w:rsidRPr="00AA1C9E">
              <w:rPr>
                <w:rFonts w:ascii="Times New Roman" w:hAnsi="Times New Roman"/>
                <w:color w:val="000000"/>
                <w:sz w:val="24"/>
                <w:szCs w:val="24"/>
              </w:rPr>
              <w:t>0</w:t>
            </w:r>
          </w:p>
        </w:tc>
        <w:tc>
          <w:tcPr>
            <w:tcW w:w="723" w:type="dxa"/>
          </w:tcPr>
          <w:p w14:paraId="133DD411" w14:textId="77777777" w:rsidR="00AA10DD" w:rsidRPr="00AA1C9E" w:rsidRDefault="00AA10DD">
            <w:pPr>
              <w:pStyle w:val="LO-Normal"/>
              <w:shd w:val="clear" w:color="auto" w:fill="FFFFFF"/>
              <w:jc w:val="center"/>
            </w:pPr>
          </w:p>
        </w:tc>
      </w:tr>
      <w:tr w:rsidR="00AA10DD" w14:paraId="56724B3B" w14:textId="77777777">
        <w:trPr>
          <w:trHeight w:hRule="exact" w:val="31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39FC6BC" w14:textId="77777777" w:rsidR="00AA10DD" w:rsidRPr="00AA1C9E" w:rsidRDefault="00366995">
            <w:pPr>
              <w:pStyle w:val="LO-Normal"/>
              <w:shd w:val="clear" w:color="auto" w:fill="FFFFFF"/>
            </w:pPr>
            <w:r w:rsidRPr="00AA1C9E">
              <w:rPr>
                <w:rFonts w:ascii="Times New Roman" w:hAnsi="Times New Roman"/>
                <w:color w:val="000000"/>
                <w:sz w:val="24"/>
                <w:szCs w:val="24"/>
              </w:rPr>
              <w:t>4</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97D7AA" w14:textId="77777777" w:rsidR="00AA10DD" w:rsidRPr="00AA1C9E" w:rsidRDefault="00366995">
            <w:pPr>
              <w:pStyle w:val="LO-Normal"/>
              <w:shd w:val="clear" w:color="auto" w:fill="FFFFFF"/>
            </w:pPr>
            <w:r w:rsidRPr="00AA1C9E">
              <w:rPr>
                <w:rFonts w:ascii="Times New Roman" w:hAnsi="Times New Roman"/>
                <w:color w:val="000000"/>
                <w:sz w:val="24"/>
                <w:szCs w:val="24"/>
              </w:rPr>
              <w:t>Инвестиционни имоти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396588" w14:textId="77777777" w:rsidR="00AA10DD" w:rsidRPr="00AA1C9E" w:rsidRDefault="00AA1C9E">
            <w:pPr>
              <w:pStyle w:val="LO-Normal"/>
              <w:shd w:val="clear" w:color="auto" w:fill="FFFFFF"/>
              <w:jc w:val="center"/>
              <w:rPr>
                <w:lang w:val="en-US"/>
              </w:rPr>
            </w:pPr>
            <w:r w:rsidRPr="00AA1C9E">
              <w:rPr>
                <w:rFonts w:ascii="Times New Roman" w:hAnsi="Times New Roman"/>
                <w:color w:val="000000"/>
                <w:sz w:val="24"/>
                <w:szCs w:val="24"/>
                <w:lang w:val="en-US"/>
              </w:rPr>
              <w:t>5</w:t>
            </w:r>
          </w:p>
        </w:tc>
        <w:tc>
          <w:tcPr>
            <w:tcW w:w="723" w:type="dxa"/>
          </w:tcPr>
          <w:p w14:paraId="3BF8E4E7" w14:textId="77777777" w:rsidR="00AA10DD" w:rsidRDefault="00AA10DD">
            <w:pPr>
              <w:pStyle w:val="LO-Normal"/>
              <w:shd w:val="clear" w:color="auto" w:fill="FFFFFF"/>
              <w:jc w:val="center"/>
            </w:pPr>
          </w:p>
        </w:tc>
      </w:tr>
    </w:tbl>
    <w:p w14:paraId="79BD040D" w14:textId="77777777" w:rsidR="00AA10DD" w:rsidRDefault="00AA10DD">
      <w:pPr>
        <w:pStyle w:val="LO-Normal"/>
        <w:widowControl w:val="0"/>
        <w:autoSpaceDE w:val="0"/>
        <w:spacing w:after="0" w:line="240" w:lineRule="auto"/>
        <w:ind w:firstLine="480"/>
        <w:jc w:val="both"/>
        <w:rPr>
          <w:rFonts w:ascii="Times New Roman" w:hAnsi="Times New Roman"/>
          <w:sz w:val="24"/>
          <w:szCs w:val="24"/>
        </w:rPr>
      </w:pPr>
    </w:p>
    <w:p w14:paraId="63515CF5" w14:textId="77777777"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sz w:val="24"/>
          <w:szCs w:val="24"/>
        </w:rPr>
        <w:t xml:space="preserve">  </w:t>
      </w:r>
      <w:r w:rsidRPr="00E56877">
        <w:rPr>
          <w:rFonts w:ascii="Times New Roman" w:hAnsi="Times New Roman"/>
          <w:b/>
          <w:bCs/>
          <w:sz w:val="24"/>
          <w:szCs w:val="24"/>
        </w:rPr>
        <w:t>2.3. Доходност на пенсионния фонд</w:t>
      </w:r>
    </w:p>
    <w:p w14:paraId="4368151F" w14:textId="77777777" w:rsidR="00AA10DD" w:rsidRDefault="00366995">
      <w:pPr>
        <w:pStyle w:val="LO-Normal"/>
        <w:widowControl w:val="0"/>
        <w:autoSpaceDE w:val="0"/>
        <w:spacing w:after="0" w:line="240" w:lineRule="auto"/>
        <w:ind w:firstLine="482"/>
        <w:jc w:val="both"/>
        <w:rPr>
          <w:rFonts w:ascii="Times New Roman" w:hAnsi="Times New Roman"/>
          <w:sz w:val="24"/>
          <w:szCs w:val="24"/>
        </w:rPr>
      </w:pPr>
      <w:r>
        <w:rPr>
          <w:rFonts w:ascii="Times New Roman" w:hAnsi="Times New Roman"/>
          <w:sz w:val="24"/>
          <w:szCs w:val="24"/>
        </w:rPr>
        <w:t>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положителен или отрицателен доход от инвестициите на фонда.</w:t>
      </w:r>
    </w:p>
    <w:p w14:paraId="757BC4E9" w14:textId="77777777" w:rsidR="00FF1919" w:rsidRDefault="00FF1919">
      <w:pPr>
        <w:pStyle w:val="LO-Normal"/>
        <w:widowControl w:val="0"/>
        <w:autoSpaceDE w:val="0"/>
        <w:spacing w:after="0" w:line="240" w:lineRule="auto"/>
        <w:ind w:firstLine="482"/>
        <w:jc w:val="both"/>
      </w:pPr>
    </w:p>
    <w:p w14:paraId="0AFF123E" w14:textId="77777777" w:rsidR="00AA10DD" w:rsidRPr="00FF1919" w:rsidRDefault="00366995">
      <w:pPr>
        <w:pStyle w:val="LO-Normal"/>
        <w:widowControl w:val="0"/>
        <w:autoSpaceDE w:val="0"/>
        <w:spacing w:after="0" w:line="240" w:lineRule="auto"/>
        <w:ind w:firstLine="480"/>
        <w:jc w:val="both"/>
        <w:rPr>
          <w:rFonts w:ascii="Times New Roman" w:hAnsi="Times New Roman"/>
          <w:b/>
          <w:bCs/>
          <w:sz w:val="24"/>
          <w:szCs w:val="24"/>
          <w:lang w:val="ru-RU"/>
        </w:rPr>
      </w:pPr>
      <w:r w:rsidRPr="00FF1919">
        <w:rPr>
          <w:rFonts w:ascii="Times New Roman" w:hAnsi="Times New Roman"/>
          <w:b/>
          <w:bCs/>
          <w:sz w:val="24"/>
          <w:szCs w:val="24"/>
        </w:rPr>
        <w:t>Постигната номинална доходност за последните 5 години</w:t>
      </w:r>
      <w:r w:rsidRPr="00FF1919">
        <w:rPr>
          <w:rFonts w:ascii="Times New Roman" w:hAnsi="Times New Roman"/>
          <w:b/>
          <w:bCs/>
          <w:sz w:val="24"/>
          <w:szCs w:val="24"/>
          <w:lang w:val="ru-RU"/>
        </w:rPr>
        <w:t>.</w:t>
      </w:r>
    </w:p>
    <w:p w14:paraId="72D90C01" w14:textId="77777777" w:rsidR="00FF1919" w:rsidRPr="00FB3150" w:rsidRDefault="00FF1919">
      <w:pPr>
        <w:pStyle w:val="LO-Normal"/>
        <w:widowControl w:val="0"/>
        <w:autoSpaceDE w:val="0"/>
        <w:spacing w:after="0" w:line="240" w:lineRule="auto"/>
        <w:ind w:firstLine="480"/>
        <w:jc w:val="both"/>
        <w:rPr>
          <w:rFonts w:ascii="Times New Roman" w:hAnsi="Times New Roman"/>
          <w:sz w:val="24"/>
          <w:szCs w:val="24"/>
          <w:lang w:val="ru-RU"/>
        </w:rPr>
      </w:pPr>
    </w:p>
    <w:tbl>
      <w:tblPr>
        <w:tblW w:w="9750" w:type="dxa"/>
        <w:tblInd w:w="45" w:type="dxa"/>
        <w:tblCellMar>
          <w:top w:w="15" w:type="dxa"/>
          <w:left w:w="70" w:type="dxa"/>
          <w:bottom w:w="15" w:type="dxa"/>
          <w:right w:w="70" w:type="dxa"/>
        </w:tblCellMar>
        <w:tblLook w:val="04A0" w:firstRow="1" w:lastRow="0" w:firstColumn="1" w:lastColumn="0" w:noHBand="0" w:noVBand="1"/>
      </w:tblPr>
      <w:tblGrid>
        <w:gridCol w:w="9750"/>
      </w:tblGrid>
      <w:tr w:rsidR="00AA10DD" w14:paraId="768C56A8" w14:textId="77777777" w:rsidTr="00FB3150">
        <w:tc>
          <w:tcPr>
            <w:tcW w:w="9750" w:type="dxa"/>
            <w:vAlign w:val="center"/>
          </w:tcPr>
          <w:p w14:paraId="29853699" w14:textId="479CFB80" w:rsidR="00AA10DD" w:rsidRDefault="00FD3679">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noProof/>
                <w:sz w:val="24"/>
                <w:szCs w:val="24"/>
              </w:rPr>
              <w:drawing>
                <wp:inline distT="0" distB="0" distL="0" distR="0" wp14:anchorId="727D54C3" wp14:editId="4ADAD151">
                  <wp:extent cx="4584700" cy="2749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tc>
      </w:tr>
    </w:tbl>
    <w:p w14:paraId="00E56B63" w14:textId="77777777" w:rsidR="00AA10DD" w:rsidRDefault="00366995">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Посочените резултати се отнасят за минал период и не следва да се считат като обещание за бъдещи резултати.</w:t>
      </w:r>
    </w:p>
    <w:p w14:paraId="28E92D82" w14:textId="77777777" w:rsidR="00E56877" w:rsidRDefault="00E56877">
      <w:pPr>
        <w:pStyle w:val="LO-Normal"/>
        <w:widowControl w:val="0"/>
        <w:autoSpaceDE w:val="0"/>
        <w:spacing w:after="0" w:line="240" w:lineRule="auto"/>
        <w:ind w:firstLine="480"/>
        <w:jc w:val="both"/>
        <w:rPr>
          <w:rFonts w:ascii="Times New Roman" w:hAnsi="Times New Roman"/>
          <w:sz w:val="24"/>
          <w:szCs w:val="24"/>
        </w:rPr>
      </w:pPr>
    </w:p>
    <w:p w14:paraId="7C556E48" w14:textId="77777777"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2.4. Инвестиционен риск на пенсионния фонд</w:t>
      </w:r>
    </w:p>
    <w:p w14:paraId="7474BEA2" w14:textId="77777777" w:rsidR="00AA10DD" w:rsidRDefault="00366995">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Инвестиционният риск се характеризира с променливостта на постигнатата доходност от управлението на активите на фонда. Показател за измерване на 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w:t>
      </w:r>
    </w:p>
    <w:p w14:paraId="3DC2499C" w14:textId="77777777" w:rsidR="00800580" w:rsidRDefault="00800580">
      <w:pPr>
        <w:pStyle w:val="LO-Normal"/>
        <w:widowControl w:val="0"/>
        <w:autoSpaceDE w:val="0"/>
        <w:spacing w:after="0" w:line="240" w:lineRule="auto"/>
        <w:ind w:firstLine="480"/>
        <w:jc w:val="both"/>
      </w:pPr>
    </w:p>
    <w:p w14:paraId="618EA9C8" w14:textId="0CD16763" w:rsidR="00AA10DD" w:rsidRPr="0026480C" w:rsidRDefault="00366995">
      <w:pPr>
        <w:pStyle w:val="LO-Normal"/>
        <w:widowControl w:val="0"/>
        <w:autoSpaceDE w:val="0"/>
        <w:spacing w:after="0" w:line="240" w:lineRule="auto"/>
        <w:ind w:firstLine="480"/>
        <w:jc w:val="both"/>
        <w:rPr>
          <w:rFonts w:ascii="Times New Roman" w:hAnsi="Times New Roman"/>
          <w:sz w:val="24"/>
          <w:szCs w:val="24"/>
          <w:highlight w:val="yellow"/>
        </w:rPr>
      </w:pPr>
      <w:r w:rsidRPr="00FD3679">
        <w:rPr>
          <w:rFonts w:ascii="Times New Roman" w:hAnsi="Times New Roman"/>
          <w:sz w:val="24"/>
          <w:szCs w:val="24"/>
        </w:rPr>
        <w:lastRenderedPageBreak/>
        <w:t>Стандартно отклонение на доходността за последните 5 години</w:t>
      </w:r>
    </w:p>
    <w:p w14:paraId="5877E72D" w14:textId="77777777" w:rsidR="00CB1DDB" w:rsidRPr="0026480C" w:rsidRDefault="00CB1DDB">
      <w:pPr>
        <w:pStyle w:val="LO-Normal"/>
        <w:widowControl w:val="0"/>
        <w:autoSpaceDE w:val="0"/>
        <w:spacing w:after="0" w:line="240" w:lineRule="auto"/>
        <w:ind w:firstLine="480"/>
        <w:jc w:val="both"/>
        <w:rPr>
          <w:rFonts w:ascii="Times New Roman" w:hAnsi="Times New Roman"/>
          <w:sz w:val="24"/>
          <w:szCs w:val="24"/>
          <w:highlight w:val="yellow"/>
        </w:rPr>
      </w:pPr>
    </w:p>
    <w:p w14:paraId="39143BC4" w14:textId="529BAACB" w:rsidR="00800580" w:rsidRDefault="00FD3679" w:rsidP="00F34A2A">
      <w:pPr>
        <w:pStyle w:val="LO-Normal"/>
        <w:widowControl w:val="0"/>
        <w:autoSpaceDE w:val="0"/>
        <w:spacing w:after="0" w:line="240" w:lineRule="auto"/>
        <w:ind w:firstLine="480"/>
        <w:jc w:val="center"/>
        <w:rPr>
          <w:rFonts w:ascii="Times New Roman" w:hAnsi="Times New Roman"/>
          <w:sz w:val="24"/>
          <w:szCs w:val="24"/>
        </w:rPr>
      </w:pPr>
      <w:r>
        <w:rPr>
          <w:rFonts w:ascii="Times New Roman" w:hAnsi="Times New Roman"/>
          <w:noProof/>
          <w:sz w:val="24"/>
          <w:szCs w:val="24"/>
        </w:rPr>
        <w:drawing>
          <wp:inline distT="0" distB="0" distL="0" distR="0" wp14:anchorId="6E9BDD94" wp14:editId="20615F8F">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845AD70" w14:textId="23F1697A" w:rsidR="00800580" w:rsidRDefault="00800580" w:rsidP="00AA1C9E">
      <w:pPr>
        <w:pStyle w:val="LO-Normal"/>
        <w:widowControl w:val="0"/>
        <w:autoSpaceDE w:val="0"/>
        <w:spacing w:after="0" w:line="240" w:lineRule="auto"/>
        <w:ind w:firstLine="480"/>
        <w:jc w:val="center"/>
        <w:rPr>
          <w:rFonts w:ascii="Times New Roman" w:hAnsi="Times New Roman"/>
          <w:sz w:val="24"/>
          <w:szCs w:val="24"/>
        </w:rPr>
      </w:pPr>
    </w:p>
    <w:p w14:paraId="041B765C" w14:textId="14838CBA" w:rsidR="00AA1C9E" w:rsidRDefault="00366995">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p>
    <w:p w14:paraId="6D59AA69" w14:textId="77777777" w:rsidR="00AA10DD" w:rsidRDefault="00366995">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Посочените резултати се отнасят за минал период и не следва да се считат като обещание за бъдещи резултати.</w:t>
      </w:r>
    </w:p>
    <w:p w14:paraId="23EB7F3F" w14:textId="77777777" w:rsidR="00AA10DD" w:rsidRDefault="00366995">
      <w:pPr>
        <w:pStyle w:val="LO-Normal"/>
        <w:widowControl w:val="0"/>
        <w:autoSpaceDE w:val="0"/>
        <w:spacing w:after="0" w:line="240" w:lineRule="auto"/>
        <w:ind w:firstLine="480"/>
        <w:jc w:val="both"/>
      </w:pPr>
      <w:r>
        <w:rPr>
          <w:rFonts w:ascii="Times New Roman" w:hAnsi="Times New Roman"/>
          <w:sz w:val="24"/>
          <w:szCs w:val="24"/>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офиса на дружеството и на неговата страница в интернет</w:t>
      </w:r>
      <w:r w:rsidRPr="00FB3150">
        <w:rPr>
          <w:rFonts w:ascii="Times New Roman" w:hAnsi="Times New Roman"/>
          <w:sz w:val="24"/>
          <w:szCs w:val="24"/>
          <w:lang w:val="ru-RU"/>
        </w:rPr>
        <w:t xml:space="preserve"> </w:t>
      </w:r>
      <w:hyperlink r:id="rId10" w:tgtFrame="_top">
        <w:r>
          <w:rPr>
            <w:rStyle w:val="Hyperlink"/>
            <w:rFonts w:ascii="Times New Roman" w:hAnsi="Times New Roman"/>
            <w:sz w:val="24"/>
            <w:szCs w:val="24"/>
            <w:lang w:val="en-US"/>
          </w:rPr>
          <w:t>http</w:t>
        </w:r>
        <w:r w:rsidRPr="00FB3150">
          <w:rPr>
            <w:rStyle w:val="Hyperlink"/>
            <w:rFonts w:ascii="Times New Roman" w:hAnsi="Times New Roman"/>
            <w:sz w:val="24"/>
            <w:szCs w:val="24"/>
            <w:lang w:val="ru-RU"/>
          </w:rPr>
          <w:t>://</w:t>
        </w:r>
        <w:r>
          <w:rPr>
            <w:rStyle w:val="Hyperlink"/>
            <w:rFonts w:ascii="Times New Roman" w:hAnsi="Times New Roman"/>
            <w:sz w:val="24"/>
            <w:szCs w:val="24"/>
            <w:lang w:val="en-US"/>
          </w:rPr>
          <w:t>www</w:t>
        </w:r>
        <w:r w:rsidRPr="00FB3150">
          <w:rPr>
            <w:rStyle w:val="Hyperlink"/>
            <w:rFonts w:ascii="Times New Roman" w:hAnsi="Times New Roman"/>
            <w:sz w:val="24"/>
            <w:szCs w:val="24"/>
            <w:lang w:val="ru-RU"/>
          </w:rPr>
          <w:t>.</w:t>
        </w:r>
        <w:r>
          <w:rPr>
            <w:rStyle w:val="Hyperlink"/>
            <w:rFonts w:ascii="Times New Roman" w:hAnsi="Times New Roman"/>
            <w:sz w:val="24"/>
            <w:szCs w:val="24"/>
            <w:lang w:val="en-US"/>
          </w:rPr>
          <w:t>pod</w:t>
        </w:r>
        <w:r w:rsidRPr="00FB3150">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budeshte</w:t>
        </w:r>
        <w:proofErr w:type="spellEnd"/>
        <w:r w:rsidRPr="00FB3150">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bg</w:t>
        </w:r>
        <w:proofErr w:type="spellEnd"/>
      </w:hyperlink>
    </w:p>
    <w:p w14:paraId="1C7D6C88" w14:textId="77777777" w:rsidR="00AA10DD" w:rsidRDefault="00366995">
      <w:pPr>
        <w:pStyle w:val="LO-Normal"/>
        <w:widowControl w:val="0"/>
        <w:autoSpaceDE w:val="0"/>
        <w:spacing w:after="0" w:line="240" w:lineRule="auto"/>
        <w:ind w:firstLine="480"/>
        <w:jc w:val="both"/>
      </w:pPr>
      <w:r>
        <w:rPr>
          <w:rFonts w:ascii="Times New Roman" w:hAnsi="Times New Roman"/>
          <w:sz w:val="24"/>
          <w:szCs w:val="24"/>
        </w:rPr>
        <w:t xml:space="preserve">Допълнителна информация за доходността и стандартното отклонение на всички пенсионни фондове можете да намерите на сайта на КФН </w:t>
      </w:r>
      <w:hyperlink r:id="rId11" w:tgtFrame="_top">
        <w:r>
          <w:rPr>
            <w:rStyle w:val="Hyperlink"/>
            <w:rFonts w:ascii="Times New Roman" w:hAnsi="Times New Roman"/>
            <w:sz w:val="24"/>
            <w:szCs w:val="24"/>
          </w:rPr>
          <w:t>http://www.fsc.bg</w:t>
        </w:r>
      </w:hyperlink>
    </w:p>
    <w:p w14:paraId="12B94C51" w14:textId="77777777" w:rsidR="00AA10DD" w:rsidRDefault="00366995">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До 10-о число на месеца, следващ всяко календарно тримесечие, ПОД публикува</w:t>
      </w:r>
      <w:r w:rsidRPr="00FB3150">
        <w:rPr>
          <w:rFonts w:ascii="Times New Roman" w:hAnsi="Times New Roman"/>
          <w:sz w:val="24"/>
          <w:szCs w:val="24"/>
          <w:lang w:val="ru-RU"/>
        </w:rPr>
        <w:t xml:space="preserve"> </w:t>
      </w:r>
      <w:r>
        <w:rPr>
          <w:rFonts w:ascii="Times New Roman" w:hAnsi="Times New Roman"/>
          <w:sz w:val="24"/>
          <w:szCs w:val="24"/>
        </w:rPr>
        <w:t>на своята страница в интернет информация за обема и структурата на инвестициите по видове активи и емитенти на ценни книжа за управлявания от него ДПФ.</w:t>
      </w:r>
    </w:p>
    <w:p w14:paraId="3593F287" w14:textId="77777777" w:rsidR="00736BD5" w:rsidRDefault="00736BD5">
      <w:pPr>
        <w:pStyle w:val="LO-Normal"/>
        <w:widowControl w:val="0"/>
        <w:autoSpaceDE w:val="0"/>
        <w:spacing w:after="0" w:line="240" w:lineRule="auto"/>
        <w:ind w:firstLine="480"/>
        <w:jc w:val="both"/>
        <w:rPr>
          <w:rFonts w:ascii="Times New Roman" w:hAnsi="Times New Roman"/>
          <w:b/>
          <w:bCs/>
          <w:sz w:val="24"/>
          <w:szCs w:val="24"/>
        </w:rPr>
      </w:pPr>
    </w:p>
    <w:p w14:paraId="69B167A9" w14:textId="000E09A0"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3. Такси и удръжки</w:t>
      </w:r>
    </w:p>
    <w:p w14:paraId="55E2ACFD" w14:textId="77777777" w:rsidR="00AA10DD" w:rsidRPr="00FB3150" w:rsidRDefault="00366995">
      <w:pPr>
        <w:pStyle w:val="LO-Normal"/>
        <w:widowControl w:val="0"/>
        <w:autoSpaceDE w:val="0"/>
        <w:spacing w:after="0" w:line="240" w:lineRule="auto"/>
        <w:ind w:firstLine="480"/>
        <w:jc w:val="both"/>
        <w:rPr>
          <w:rFonts w:ascii="Times New Roman" w:hAnsi="Times New Roman"/>
          <w:sz w:val="24"/>
          <w:szCs w:val="24"/>
          <w:lang w:val="ru-RU"/>
        </w:rPr>
      </w:pPr>
      <w:r>
        <w:rPr>
          <w:rFonts w:ascii="Times New Roman" w:hAnsi="Times New Roman"/>
          <w:sz w:val="24"/>
          <w:szCs w:val="24"/>
        </w:rPr>
        <w:t>При управлението на фонда „ПОД-Бъдеще“ АД събира следните такси и удръжки:</w:t>
      </w:r>
    </w:p>
    <w:p w14:paraId="741343A5" w14:textId="77777777" w:rsidR="00AA10DD" w:rsidRDefault="00AA10DD">
      <w:pPr>
        <w:pStyle w:val="LO-Normal"/>
        <w:spacing w:after="216" w:line="1" w:lineRule="exact"/>
        <w:rPr>
          <w:sz w:val="2"/>
          <w:szCs w:val="2"/>
        </w:rPr>
      </w:pPr>
    </w:p>
    <w:p w14:paraId="562EAD38" w14:textId="77777777" w:rsidR="00E56877" w:rsidRDefault="00E56877">
      <w:pPr>
        <w:pStyle w:val="LO-Normal"/>
        <w:spacing w:after="216" w:line="1" w:lineRule="exact"/>
        <w:rPr>
          <w:sz w:val="2"/>
          <w:szCs w:val="2"/>
        </w:rPr>
      </w:pPr>
    </w:p>
    <w:p w14:paraId="4FCDD02C" w14:textId="77777777" w:rsidR="00E56877" w:rsidRDefault="00E56877">
      <w:pPr>
        <w:pStyle w:val="LO-Normal"/>
        <w:spacing w:after="216" w:line="1" w:lineRule="exact"/>
        <w:rPr>
          <w:sz w:val="2"/>
          <w:szCs w:val="2"/>
        </w:rPr>
      </w:pPr>
    </w:p>
    <w:tbl>
      <w:tblPr>
        <w:tblStyle w:val="TableGrid"/>
        <w:tblW w:w="0" w:type="auto"/>
        <w:tblLook w:val="04A0" w:firstRow="1" w:lastRow="0" w:firstColumn="1" w:lastColumn="0" w:noHBand="0" w:noVBand="1"/>
      </w:tblPr>
      <w:tblGrid>
        <w:gridCol w:w="4531"/>
        <w:gridCol w:w="4531"/>
      </w:tblGrid>
      <w:tr w:rsidR="00C85F93" w14:paraId="75D3ECCD" w14:textId="77777777" w:rsidTr="00E800FE">
        <w:tc>
          <w:tcPr>
            <w:tcW w:w="4531" w:type="dxa"/>
          </w:tcPr>
          <w:p w14:paraId="7C59F60D" w14:textId="561F692C" w:rsidR="00C85F93" w:rsidRDefault="00C85F93" w:rsidP="00C85F93">
            <w:r w:rsidRPr="002F4C0E">
              <w:rPr>
                <w:rFonts w:ascii="Times New Roman" w:hAnsi="Times New Roman"/>
                <w:color w:val="000000"/>
                <w:spacing w:val="-1"/>
                <w:sz w:val="20"/>
                <w:szCs w:val="20"/>
              </w:rPr>
              <w:t>Еднократна встъпителна такса за откриване на индивидуална партида</w:t>
            </w:r>
          </w:p>
        </w:tc>
        <w:tc>
          <w:tcPr>
            <w:tcW w:w="4531" w:type="dxa"/>
          </w:tcPr>
          <w:p w14:paraId="7B39626C" w14:textId="77777777" w:rsidR="00C85F93" w:rsidRPr="002F4C0E" w:rsidRDefault="00C85F93" w:rsidP="00C85F93">
            <w:pPr>
              <w:shd w:val="clear" w:color="auto" w:fill="FFFFFF"/>
              <w:ind w:left="5"/>
              <w:jc w:val="both"/>
              <w:rPr>
                <w:rFonts w:ascii="Times New Roman" w:hAnsi="Times New Roman"/>
                <w:sz w:val="20"/>
                <w:szCs w:val="20"/>
              </w:rPr>
            </w:pPr>
            <w:r w:rsidRPr="002F4C0E">
              <w:rPr>
                <w:rFonts w:ascii="Times New Roman" w:hAnsi="Times New Roman"/>
                <w:sz w:val="20"/>
                <w:szCs w:val="20"/>
              </w:rPr>
              <w:t>а)</w:t>
            </w:r>
            <w:r w:rsidRPr="002F4C0E">
              <w:rPr>
                <w:rFonts w:ascii="Arial" w:hAnsi="Arial" w:cs="Arial"/>
                <w:sz w:val="20"/>
                <w:szCs w:val="20"/>
              </w:rPr>
              <w:t xml:space="preserve"> </w:t>
            </w:r>
            <w:r w:rsidRPr="002F4C0E">
              <w:rPr>
                <w:rFonts w:ascii="Times New Roman" w:hAnsi="Times New Roman"/>
                <w:sz w:val="20"/>
                <w:szCs w:val="20"/>
              </w:rPr>
              <w:t>3.00 (три) евро за договор за доброволно пенсионно осигуряване от осигурител, при който броят на осигурените лица е до 500 лица включително;</w:t>
            </w:r>
          </w:p>
          <w:p w14:paraId="6381CD7B" w14:textId="77777777" w:rsidR="00C85F93" w:rsidRPr="002F4C0E" w:rsidRDefault="00C85F93" w:rsidP="00C85F93">
            <w:pPr>
              <w:shd w:val="clear" w:color="auto" w:fill="FFFFFF"/>
              <w:ind w:left="5"/>
              <w:jc w:val="both"/>
              <w:rPr>
                <w:rFonts w:ascii="Times New Roman" w:hAnsi="Times New Roman"/>
                <w:sz w:val="20"/>
                <w:szCs w:val="20"/>
              </w:rPr>
            </w:pPr>
            <w:r w:rsidRPr="002F4C0E">
              <w:rPr>
                <w:rFonts w:ascii="Times New Roman" w:hAnsi="Times New Roman"/>
                <w:sz w:val="20"/>
                <w:szCs w:val="20"/>
              </w:rPr>
              <w:t>б) 2.00 (две) евро за договор за доброволно пенсионно осигуряване от осигурител, при който броят на осигурените лица е над 500 лица;</w:t>
            </w:r>
          </w:p>
          <w:p w14:paraId="05B4D874" w14:textId="77777777" w:rsidR="00C85F93" w:rsidRPr="002F4C0E" w:rsidRDefault="00C85F93" w:rsidP="00C85F93">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в) еднократна встъпителна такса не се събира за лица, които към момента на сключване на договора за доброволно пенсионно осигуряване имат натрупани средства по партидата си чрез друг договор за доброволно пенсионно осигуряване във Фонда;</w:t>
            </w:r>
          </w:p>
          <w:p w14:paraId="05E09BC8" w14:textId="77777777" w:rsidR="00C85F93" w:rsidRPr="002F4C0E" w:rsidRDefault="00C85F93" w:rsidP="00C85F93">
            <w:pPr>
              <w:pStyle w:val="BodyTextIndent"/>
              <w:ind w:right="48" w:firstLine="0"/>
              <w:rPr>
                <w:rFonts w:ascii="Times New Roman" w:hAnsi="Times New Roman"/>
                <w:sz w:val="20"/>
                <w:lang w:val="bg-BG" w:eastAsia="bg-BG"/>
              </w:rPr>
            </w:pPr>
          </w:p>
          <w:p w14:paraId="3E0F8E53" w14:textId="14C4FFA1" w:rsidR="00C85F93" w:rsidRDefault="00C85F93" w:rsidP="00C85F93">
            <w:pPr>
              <w:jc w:val="both"/>
            </w:pPr>
            <w:r w:rsidRPr="002F4C0E">
              <w:rPr>
                <w:rFonts w:ascii="Times New Roman" w:hAnsi="Times New Roman"/>
                <w:sz w:val="20"/>
                <w:szCs w:val="20"/>
                <w:lang w:eastAsia="bg-BG"/>
              </w:rPr>
              <w:lastRenderedPageBreak/>
              <w:t>г) таксата не се събира и за лица, които се прехвърлят от друг доброволен пенсионен фонд, управляван от друго пенсионноосигурително дружество.</w:t>
            </w:r>
          </w:p>
        </w:tc>
      </w:tr>
      <w:tr w:rsidR="00C85F93" w14:paraId="3BE3A50F" w14:textId="77777777" w:rsidTr="00E800FE">
        <w:tc>
          <w:tcPr>
            <w:tcW w:w="4531" w:type="dxa"/>
          </w:tcPr>
          <w:p w14:paraId="5E306ED4" w14:textId="72C4A602" w:rsidR="00C85F93" w:rsidRDefault="00C85F93" w:rsidP="00C85F93">
            <w:pPr>
              <w:rPr>
                <w:rFonts w:ascii="Times New Roman" w:hAnsi="Times New Roman"/>
                <w:color w:val="000000"/>
                <w:spacing w:val="-1"/>
                <w:sz w:val="20"/>
                <w:szCs w:val="20"/>
              </w:rPr>
            </w:pPr>
            <w:r w:rsidRPr="002F4C0E">
              <w:rPr>
                <w:rFonts w:ascii="Times New Roman" w:hAnsi="Times New Roman"/>
                <w:color w:val="000000"/>
                <w:sz w:val="20"/>
                <w:szCs w:val="20"/>
              </w:rPr>
              <w:lastRenderedPageBreak/>
              <w:t>Удръжка от всяка осигурителна вноска</w:t>
            </w:r>
          </w:p>
        </w:tc>
        <w:tc>
          <w:tcPr>
            <w:tcW w:w="4531" w:type="dxa"/>
          </w:tcPr>
          <w:p w14:paraId="09227D99" w14:textId="77777777" w:rsidR="00C85F93" w:rsidRPr="002F4C0E" w:rsidRDefault="00C85F93" w:rsidP="00C85F93">
            <w:pPr>
              <w:pStyle w:val="BodyTextIndent"/>
              <w:ind w:right="48" w:firstLine="0"/>
              <w:rPr>
                <w:rFonts w:ascii="Times New Roman" w:hAnsi="Times New Roman"/>
                <w:b/>
                <w:bCs/>
                <w:sz w:val="20"/>
                <w:lang w:val="bg-BG" w:eastAsia="bg-BG"/>
              </w:rPr>
            </w:pPr>
            <w:r w:rsidRPr="002F4C0E">
              <w:rPr>
                <w:rFonts w:ascii="Times New Roman" w:hAnsi="Times New Roman"/>
                <w:b/>
                <w:bCs/>
                <w:sz w:val="20"/>
                <w:lang w:val="bg-BG" w:eastAsia="bg-BG"/>
              </w:rPr>
              <w:t xml:space="preserve">1.Удръжка като процент от всяка месечна осигурителна вноска, която се използва за администриране и управление на ФОНДА в размер на: </w:t>
            </w:r>
          </w:p>
          <w:p w14:paraId="0B3919F2" w14:textId="77777777" w:rsidR="00C85F93" w:rsidRPr="002F4C0E" w:rsidRDefault="00C85F93" w:rsidP="00C85F93">
            <w:pPr>
              <w:pStyle w:val="BodyTextIndent"/>
              <w:ind w:right="48" w:firstLine="0"/>
              <w:rPr>
                <w:rFonts w:ascii="Times New Roman" w:hAnsi="Times New Roman"/>
                <w:sz w:val="20"/>
                <w:lang w:val="bg-BG" w:eastAsia="bg-BG"/>
              </w:rPr>
            </w:pPr>
          </w:p>
          <w:p w14:paraId="28A517B5" w14:textId="77777777" w:rsidR="00C85F93" w:rsidRPr="002F4C0E" w:rsidRDefault="00C85F93" w:rsidP="00C85F93">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 xml:space="preserve">а) 4.25%- по индивидуален договор за допълнително доброволно пенсионно осигуряване с месечна вноска до 50 (петдесет) евро включително. </w:t>
            </w:r>
          </w:p>
          <w:p w14:paraId="608B3678" w14:textId="77777777" w:rsidR="00C85F93" w:rsidRPr="002F4C0E" w:rsidRDefault="00C85F93" w:rsidP="00C85F93">
            <w:pPr>
              <w:pStyle w:val="BodyTextIndent"/>
              <w:ind w:right="48" w:firstLine="0"/>
              <w:rPr>
                <w:rFonts w:ascii="Times New Roman" w:hAnsi="Times New Roman"/>
                <w:sz w:val="20"/>
                <w:lang w:val="bg-BG" w:eastAsia="bg-BG"/>
              </w:rPr>
            </w:pPr>
          </w:p>
          <w:p w14:paraId="57B590E1" w14:textId="77777777" w:rsidR="00C85F93" w:rsidRPr="002F4C0E" w:rsidRDefault="00C85F93" w:rsidP="00FF1919">
            <w:pPr>
              <w:pStyle w:val="BodyTextIndent"/>
              <w:ind w:right="0" w:firstLine="0"/>
              <w:rPr>
                <w:rFonts w:ascii="Times New Roman" w:hAnsi="Times New Roman"/>
                <w:sz w:val="20"/>
                <w:lang w:val="bg-BG"/>
              </w:rPr>
            </w:pPr>
            <w:r w:rsidRPr="002F4C0E">
              <w:rPr>
                <w:rFonts w:ascii="Times New Roman" w:hAnsi="Times New Roman"/>
                <w:sz w:val="20"/>
                <w:lang w:val="bg-BG" w:eastAsia="bg-BG"/>
              </w:rPr>
              <w:t xml:space="preserve">б) </w:t>
            </w:r>
            <w:r w:rsidRPr="002F4C0E">
              <w:rPr>
                <w:rFonts w:ascii="Times New Roman" w:hAnsi="Times New Roman"/>
                <w:sz w:val="20"/>
                <w:lang w:val="bg-BG"/>
              </w:rPr>
              <w:t xml:space="preserve">4.00%- по индивидуален договор за допълнително доброволно пенсионно осигуряване с месечна вноска над 50 евро и по-малка от 250 евро включително. </w:t>
            </w:r>
          </w:p>
          <w:p w14:paraId="6B83E82B" w14:textId="77777777" w:rsidR="00C85F93" w:rsidRPr="002F4C0E" w:rsidRDefault="00C85F93" w:rsidP="00C85F93">
            <w:pPr>
              <w:pStyle w:val="BodyTextIndent"/>
              <w:ind w:right="48" w:firstLine="0"/>
              <w:rPr>
                <w:rFonts w:ascii="Times New Roman" w:hAnsi="Times New Roman"/>
                <w:sz w:val="20"/>
                <w:lang w:val="bg-BG" w:eastAsia="bg-BG"/>
              </w:rPr>
            </w:pPr>
          </w:p>
          <w:p w14:paraId="3E6EB10F" w14:textId="77777777" w:rsidR="00C85F93" w:rsidRPr="002F4C0E" w:rsidRDefault="00C85F93" w:rsidP="00C85F93">
            <w:pPr>
              <w:pStyle w:val="BodyTextIndent"/>
              <w:ind w:right="48" w:firstLine="0"/>
              <w:rPr>
                <w:rFonts w:ascii="Times New Roman" w:hAnsi="Times New Roman"/>
                <w:sz w:val="20"/>
                <w:lang w:val="bg-BG"/>
              </w:rPr>
            </w:pPr>
            <w:r w:rsidRPr="002F4C0E">
              <w:rPr>
                <w:rFonts w:ascii="Times New Roman" w:hAnsi="Times New Roman"/>
                <w:sz w:val="20"/>
                <w:lang w:val="bg-BG" w:eastAsia="bg-BG"/>
              </w:rPr>
              <w:t xml:space="preserve">в) </w:t>
            </w:r>
            <w:r w:rsidRPr="002F4C0E">
              <w:rPr>
                <w:rFonts w:ascii="Times New Roman" w:hAnsi="Times New Roman"/>
                <w:sz w:val="20"/>
                <w:lang w:val="bg-BG"/>
              </w:rPr>
              <w:t>3.00%- по индивидуален договор за допълнително доброволно пенсионно осигуряване с месечна вноска над 250 (двеста и петдесет) евро;</w:t>
            </w:r>
          </w:p>
          <w:p w14:paraId="378B549B" w14:textId="0A6305CD" w:rsidR="00C85F93" w:rsidRPr="002F4C0E" w:rsidRDefault="00C85F93" w:rsidP="00C85F93">
            <w:pPr>
              <w:pStyle w:val="BodyTextIndent"/>
              <w:ind w:right="48" w:firstLine="0"/>
              <w:rPr>
                <w:rFonts w:ascii="Times New Roman" w:hAnsi="Times New Roman"/>
                <w:bCs/>
                <w:sz w:val="20"/>
                <w:lang w:val="bg-BG" w:eastAsia="bg-BG"/>
              </w:rPr>
            </w:pPr>
            <w:r w:rsidRPr="002F4C0E">
              <w:rPr>
                <w:rFonts w:ascii="Times New Roman" w:hAnsi="Times New Roman"/>
                <w:sz w:val="20"/>
                <w:lang w:val="bg-BG" w:eastAsia="bg-BG"/>
              </w:rPr>
              <w:t xml:space="preserve">г) </w:t>
            </w:r>
            <w:r w:rsidRPr="002F4C0E">
              <w:rPr>
                <w:rFonts w:ascii="Times New Roman" w:hAnsi="Times New Roman"/>
                <w:bCs/>
                <w:sz w:val="20"/>
                <w:lang w:val="bg-BG" w:eastAsia="bg-BG"/>
              </w:rPr>
              <w:t>3.8%-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до размера на данъчно признатия разход за допълнително доброволно пенсионно осигуряване по Закона за корпоративно подоходно облагане (ЗКПО).</w:t>
            </w:r>
            <w:r w:rsidRPr="002F4C0E">
              <w:rPr>
                <w:rFonts w:ascii="Times New Roman" w:hAnsi="Times New Roman"/>
                <w:sz w:val="20"/>
                <w:lang w:val="bg-BG" w:eastAsia="bg-BG"/>
              </w:rPr>
              <w:br/>
              <w:t xml:space="preserve">(д) </w:t>
            </w:r>
            <w:r w:rsidRPr="002F4C0E">
              <w:rPr>
                <w:rFonts w:ascii="Times New Roman" w:hAnsi="Times New Roman"/>
                <w:bCs/>
                <w:sz w:val="20"/>
                <w:lang w:val="bg-BG" w:eastAsia="bg-BG"/>
              </w:rPr>
              <w:t>3 %-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над размера на данъчно признатия разход за допълнително доброволно пенсионно осигуряване по ЗКПО.</w:t>
            </w:r>
          </w:p>
          <w:p w14:paraId="77399513" w14:textId="77777777" w:rsidR="00C85F93" w:rsidRPr="002F4C0E" w:rsidRDefault="00C85F93" w:rsidP="00C85F93">
            <w:pPr>
              <w:pStyle w:val="BodyTextIndent"/>
              <w:ind w:right="48" w:firstLine="0"/>
              <w:rPr>
                <w:rFonts w:ascii="Times New Roman" w:hAnsi="Times New Roman"/>
                <w:bCs/>
                <w:sz w:val="20"/>
                <w:lang w:val="bg-BG" w:eastAsia="bg-BG"/>
              </w:rPr>
            </w:pPr>
            <w:r w:rsidRPr="002F4C0E">
              <w:rPr>
                <w:rFonts w:ascii="Times New Roman" w:hAnsi="Times New Roman"/>
                <w:bCs/>
                <w:sz w:val="20"/>
                <w:lang w:val="bg-BG" w:eastAsia="bg-BG"/>
              </w:rPr>
              <w:t>(е)</w:t>
            </w:r>
            <w:r w:rsidRPr="002F4C0E">
              <w:rPr>
                <w:rFonts w:ascii="Arial" w:hAnsi="Arial" w:cs="Arial"/>
                <w:bCs/>
                <w:sz w:val="20"/>
                <w:lang w:val="bg-BG"/>
              </w:rPr>
              <w:t xml:space="preserve"> </w:t>
            </w:r>
            <w:r w:rsidRPr="002F4C0E">
              <w:rPr>
                <w:rFonts w:ascii="Times New Roman" w:hAnsi="Times New Roman"/>
                <w:bCs/>
                <w:sz w:val="20"/>
                <w:lang w:val="bg-BG" w:eastAsia="bg-BG"/>
              </w:rPr>
              <w:t xml:space="preserve">Когато общият размер на месечната осигурителна вноска </w:t>
            </w:r>
            <w:bookmarkStart w:id="1" w:name="_Hlk210725333"/>
            <w:r w:rsidRPr="002F4C0E">
              <w:rPr>
                <w:rFonts w:ascii="Times New Roman" w:hAnsi="Times New Roman"/>
                <w:bCs/>
                <w:sz w:val="20"/>
                <w:lang w:val="bg-BG" w:eastAsia="bg-BG"/>
              </w:rPr>
              <w:t>по договор за допълнително доброволно пенсионно осигуряване за сметка на</w:t>
            </w:r>
            <w:bookmarkEnd w:id="1"/>
            <w:r w:rsidRPr="002F4C0E">
              <w:rPr>
                <w:rFonts w:ascii="Times New Roman" w:hAnsi="Times New Roman"/>
                <w:bCs/>
                <w:sz w:val="20"/>
                <w:lang w:val="bg-BG" w:eastAsia="bg-BG"/>
              </w:rPr>
              <w:t xml:space="preserve"> осигурител или друг осигурител е 25 000 евро и повече, удръжката се определя и изчислява съобразно броя на осигурените лица, както следва:</w:t>
            </w:r>
          </w:p>
          <w:p w14:paraId="7718E0C7" w14:textId="77777777" w:rsidR="00C85F93" w:rsidRPr="002F4C0E" w:rsidRDefault="00C85F93" w:rsidP="00C85F93">
            <w:pPr>
              <w:pStyle w:val="BodyTextIndent"/>
              <w:ind w:firstLine="0"/>
              <w:rPr>
                <w:rFonts w:ascii="Times New Roman" w:hAnsi="Times New Roman"/>
                <w:bCs/>
                <w:sz w:val="20"/>
                <w:lang w:val="bg-BG"/>
              </w:rPr>
            </w:pPr>
            <w:r w:rsidRPr="002F4C0E">
              <w:rPr>
                <w:rFonts w:ascii="Times New Roman" w:hAnsi="Times New Roman"/>
                <w:bCs/>
                <w:sz w:val="20"/>
                <w:lang w:val="bg-BG"/>
              </w:rPr>
              <w:t>1. До 2400 лица – 3%</w:t>
            </w:r>
          </w:p>
          <w:p w14:paraId="10741B45" w14:textId="77777777" w:rsidR="00C85F93" w:rsidRPr="002F4C0E" w:rsidRDefault="00C85F93" w:rsidP="00C85F93">
            <w:pPr>
              <w:pStyle w:val="BodyTextIndent"/>
              <w:ind w:firstLine="0"/>
              <w:rPr>
                <w:rFonts w:ascii="Times New Roman" w:hAnsi="Times New Roman"/>
                <w:bCs/>
                <w:sz w:val="20"/>
                <w:lang w:val="bg-BG"/>
              </w:rPr>
            </w:pPr>
            <w:r w:rsidRPr="002F4C0E">
              <w:rPr>
                <w:rFonts w:ascii="Times New Roman" w:hAnsi="Times New Roman"/>
                <w:bCs/>
                <w:sz w:val="20"/>
                <w:lang w:val="bg-BG"/>
              </w:rPr>
              <w:t>2. Над 2400 лица – 2.1%</w:t>
            </w:r>
          </w:p>
          <w:p w14:paraId="5146EBF9" w14:textId="77777777" w:rsidR="00C85F93" w:rsidRPr="002F4C0E" w:rsidRDefault="00C85F93" w:rsidP="00C85F93">
            <w:pPr>
              <w:pStyle w:val="BodyTextIndent"/>
              <w:ind w:right="0" w:firstLine="0"/>
              <w:rPr>
                <w:rFonts w:ascii="Times New Roman" w:hAnsi="Times New Roman"/>
                <w:bCs/>
                <w:sz w:val="20"/>
                <w:lang w:val="bg-BG"/>
              </w:rPr>
            </w:pPr>
            <w:r w:rsidRPr="002F4C0E">
              <w:rPr>
                <w:rFonts w:ascii="Times New Roman" w:hAnsi="Times New Roman"/>
                <w:bCs/>
                <w:sz w:val="20"/>
                <w:lang w:val="bg-BG"/>
              </w:rPr>
              <w:t>ж) за вноски с периодичност, различна от един месец, размерът на удръжката се определя, като вноската се преизчислява на месечна база, в зависимост от периода, за който тя се отнася.</w:t>
            </w:r>
          </w:p>
          <w:p w14:paraId="28D79B5B" w14:textId="77777777" w:rsidR="00C85F93" w:rsidRPr="002F4C0E" w:rsidRDefault="00C85F93" w:rsidP="00C85F93">
            <w:pPr>
              <w:pStyle w:val="BodyTextIndent"/>
              <w:ind w:right="48" w:firstLine="0"/>
              <w:rPr>
                <w:rFonts w:ascii="Times New Roman" w:hAnsi="Times New Roman"/>
                <w:bCs/>
                <w:sz w:val="20"/>
                <w:lang w:val="bg-BG"/>
              </w:rPr>
            </w:pPr>
            <w:r w:rsidRPr="002F4C0E">
              <w:rPr>
                <w:rFonts w:ascii="Times New Roman" w:hAnsi="Times New Roman"/>
                <w:bCs/>
                <w:sz w:val="20"/>
                <w:lang w:val="bg-BG"/>
              </w:rPr>
              <w:t>з) При индивидуален договор за допълнително доброволно пенсионно осигуряване (с лични вноски), както и в случаите на договор за допълнително пенсионно осигуряване от друг осигурител, когато натрупаната сума от вноски по партидата надхвърли 10 000 (десет хиляди) eвро, Дружеството намалява събираната такса по чл. 73.2 букви „а“-„ж“ от Правилника с 10%. (буква а-ж от настоящия документ)</w:t>
            </w:r>
          </w:p>
          <w:p w14:paraId="726FBB1C" w14:textId="6D7DD103" w:rsidR="00C85F93" w:rsidRPr="002F4C0E" w:rsidRDefault="00C85F93" w:rsidP="00C85F93">
            <w:pPr>
              <w:pStyle w:val="BodyTextIndent"/>
              <w:ind w:right="48" w:firstLine="0"/>
              <w:rPr>
                <w:rFonts w:ascii="Times New Roman" w:hAnsi="Times New Roman"/>
                <w:bCs/>
                <w:sz w:val="20"/>
                <w:lang w:val="bg-BG"/>
              </w:rPr>
            </w:pPr>
            <w:r w:rsidRPr="002F4C0E">
              <w:rPr>
                <w:rFonts w:ascii="Times New Roman" w:hAnsi="Times New Roman"/>
                <w:bCs/>
                <w:sz w:val="20"/>
                <w:lang w:val="bg-BG"/>
              </w:rPr>
              <w:lastRenderedPageBreak/>
              <w:t>к) По отношение на лицата, осигурени в универсалния и/или професионалния пенсионен фонд, управляван от Дружеството, размерът на таксите по чл.73.2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436A2532" w14:textId="6A939913" w:rsidR="00C85F93" w:rsidRPr="002F4C0E" w:rsidRDefault="00C85F93" w:rsidP="00C85F93">
            <w:pPr>
              <w:pStyle w:val="BodyTextIndent"/>
              <w:ind w:right="48" w:firstLine="0"/>
              <w:rPr>
                <w:rFonts w:ascii="Times New Roman" w:hAnsi="Times New Roman"/>
                <w:bCs/>
                <w:sz w:val="20"/>
                <w:lang w:val="bg-BG"/>
              </w:rPr>
            </w:pPr>
            <w:r w:rsidRPr="002F4C0E">
              <w:rPr>
                <w:rFonts w:ascii="Times New Roman" w:hAnsi="Times New Roman"/>
                <w:bCs/>
                <w:sz w:val="20"/>
                <w:lang w:val="bg-BG"/>
              </w:rPr>
              <w:t>л) При наличие на обстоятелствата по чл.73.2.1. и чл.73.2.2 от Правилника, отстъпката се акумулира, съгласно последователността на прилагането им.</w:t>
            </w:r>
          </w:p>
          <w:p w14:paraId="5A21CB1A" w14:textId="24249307" w:rsidR="00C85F93" w:rsidRPr="002F4C0E" w:rsidRDefault="00C85F93" w:rsidP="00C85F93">
            <w:pPr>
              <w:pStyle w:val="BodyTextIndent"/>
              <w:ind w:right="48" w:firstLine="0"/>
              <w:rPr>
                <w:rFonts w:ascii="Times New Roman" w:hAnsi="Times New Roman"/>
                <w:bCs/>
                <w:sz w:val="20"/>
                <w:lang w:val="bg-BG"/>
              </w:rPr>
            </w:pPr>
            <w:r w:rsidRPr="002F4C0E">
              <w:rPr>
                <w:rFonts w:ascii="Times New Roman" w:hAnsi="Times New Roman"/>
                <w:bCs/>
                <w:sz w:val="20"/>
                <w:lang w:val="bg-BG"/>
              </w:rPr>
              <w:t xml:space="preserve">м) Когато лицето има сключен договор за разсрочено плащане от </w:t>
            </w:r>
            <w:r w:rsidR="008C4061">
              <w:rPr>
                <w:rFonts w:ascii="Times New Roman" w:hAnsi="Times New Roman"/>
                <w:bCs/>
                <w:sz w:val="20"/>
                <w:lang w:val="bg-BG"/>
              </w:rPr>
              <w:t>„</w:t>
            </w:r>
            <w:r w:rsidRPr="002F4C0E">
              <w:rPr>
                <w:rFonts w:ascii="Times New Roman" w:hAnsi="Times New Roman"/>
                <w:bCs/>
                <w:sz w:val="20"/>
                <w:lang w:val="bg-BG"/>
              </w:rPr>
              <w:t>ФРП-Бъдеще</w:t>
            </w:r>
            <w:r w:rsidR="008C4061">
              <w:rPr>
                <w:rFonts w:ascii="Times New Roman" w:hAnsi="Times New Roman"/>
                <w:bCs/>
                <w:sz w:val="20"/>
                <w:lang w:val="bg-BG"/>
              </w:rPr>
              <w:t>“</w:t>
            </w:r>
            <w:r w:rsidRPr="002F4C0E">
              <w:rPr>
                <w:rFonts w:ascii="Times New Roman" w:hAnsi="Times New Roman"/>
                <w:bCs/>
                <w:sz w:val="20"/>
                <w:lang w:val="bg-BG"/>
              </w:rPr>
              <w:t xml:space="preserve"> или договор за допълнителна пожизнена пенсия от </w:t>
            </w:r>
            <w:r w:rsidR="008C4061">
              <w:rPr>
                <w:rFonts w:ascii="Times New Roman" w:hAnsi="Times New Roman"/>
                <w:bCs/>
                <w:sz w:val="20"/>
                <w:lang w:val="bg-BG"/>
              </w:rPr>
              <w:t>„</w:t>
            </w:r>
            <w:r w:rsidRPr="002F4C0E">
              <w:rPr>
                <w:rFonts w:ascii="Times New Roman" w:hAnsi="Times New Roman"/>
                <w:bCs/>
                <w:sz w:val="20"/>
                <w:lang w:val="bg-BG"/>
              </w:rPr>
              <w:t>ФИПП-Бъдеще</w:t>
            </w:r>
            <w:r w:rsidR="008C4061">
              <w:rPr>
                <w:rFonts w:ascii="Times New Roman" w:hAnsi="Times New Roman"/>
                <w:bCs/>
                <w:sz w:val="20"/>
                <w:lang w:val="bg-BG"/>
              </w:rPr>
              <w:t>“</w:t>
            </w:r>
            <w:r w:rsidRPr="002F4C0E">
              <w:rPr>
                <w:rFonts w:ascii="Times New Roman" w:hAnsi="Times New Roman"/>
                <w:bCs/>
                <w:sz w:val="20"/>
                <w:lang w:val="bg-BG"/>
              </w:rPr>
              <w:t xml:space="preserve"> и прехвърля част или цялото си пенсионно плащане в „ДПФ-Бъдеще“, дружеството събира такса в размер на 0,2% от преведената сума.</w:t>
            </w:r>
          </w:p>
          <w:p w14:paraId="5D79796A" w14:textId="77777777" w:rsidR="00C85F93" w:rsidRPr="002F4C0E" w:rsidRDefault="00C85F93" w:rsidP="00C85F93">
            <w:pPr>
              <w:pStyle w:val="BodyTextIndent"/>
              <w:ind w:right="48" w:firstLine="0"/>
              <w:rPr>
                <w:rFonts w:ascii="Times New Roman" w:hAnsi="Times New Roman"/>
                <w:bCs/>
                <w:sz w:val="20"/>
                <w:lang w:val="bg-BG"/>
              </w:rPr>
            </w:pPr>
          </w:p>
          <w:p w14:paraId="1833B09A" w14:textId="77777777" w:rsidR="00C85F93" w:rsidRPr="002F4C0E" w:rsidRDefault="00C85F93" w:rsidP="00C85F93">
            <w:pPr>
              <w:pStyle w:val="BodyTextIndent"/>
              <w:ind w:right="48" w:firstLine="0"/>
              <w:rPr>
                <w:rFonts w:ascii="Times New Roman" w:hAnsi="Times New Roman"/>
                <w:b/>
                <w:sz w:val="20"/>
                <w:lang w:val="bg-BG" w:eastAsia="bg-BG"/>
              </w:rPr>
            </w:pPr>
            <w:r w:rsidRPr="002F4C0E">
              <w:rPr>
                <w:rFonts w:ascii="Times New Roman" w:hAnsi="Times New Roman"/>
                <w:bCs/>
                <w:sz w:val="20"/>
                <w:lang w:val="bg-BG" w:eastAsia="bg-BG"/>
              </w:rPr>
              <w:t xml:space="preserve"> </w:t>
            </w:r>
            <w:r w:rsidRPr="002F4C0E">
              <w:rPr>
                <w:rFonts w:ascii="Times New Roman" w:hAnsi="Times New Roman"/>
                <w:b/>
                <w:sz w:val="20"/>
                <w:lang w:val="bg-BG" w:eastAsia="bg-BG"/>
              </w:rPr>
              <w:t>2.Удръжка като процент от всяка еднократна осигурителна вноска,  която се използва за администриране и управление на фонда в размер на:</w:t>
            </w:r>
          </w:p>
          <w:p w14:paraId="120AB64D" w14:textId="3ECE2149" w:rsidR="00C85F93" w:rsidRPr="002F4C0E" w:rsidRDefault="00C85F93" w:rsidP="00C85F93">
            <w:pPr>
              <w:pStyle w:val="BodyTextIndent"/>
              <w:ind w:right="0" w:firstLine="0"/>
              <w:rPr>
                <w:rFonts w:ascii="Times New Roman" w:hAnsi="Times New Roman"/>
                <w:sz w:val="20"/>
                <w:lang w:val="bg-BG"/>
              </w:rPr>
            </w:pPr>
            <w:r w:rsidRPr="002F4C0E">
              <w:rPr>
                <w:rFonts w:ascii="Times New Roman" w:hAnsi="Times New Roman"/>
                <w:sz w:val="20"/>
                <w:lang w:val="bg-BG"/>
              </w:rPr>
              <w:t xml:space="preserve"> а) 4.00%</w:t>
            </w:r>
            <w:r w:rsidR="002A69EC" w:rsidRPr="002F4C0E">
              <w:rPr>
                <w:rFonts w:ascii="Times New Roman" w:hAnsi="Times New Roman"/>
                <w:bCs/>
                <w:sz w:val="20"/>
                <w:lang w:val="bg-BG"/>
              </w:rPr>
              <w:t xml:space="preserve"> – </w:t>
            </w:r>
            <w:r w:rsidRPr="002F4C0E">
              <w:rPr>
                <w:rFonts w:ascii="Times New Roman" w:hAnsi="Times New Roman"/>
                <w:sz w:val="20"/>
                <w:lang w:val="bg-BG"/>
              </w:rPr>
              <w:t xml:space="preserve">по индивидуален договор за допълнително доброволно пенсионно осигуряване с еднократна вноска до 500 евро включително </w:t>
            </w:r>
          </w:p>
          <w:p w14:paraId="40005DD9" w14:textId="4AC95F29" w:rsidR="00C85F93" w:rsidRPr="002F4C0E" w:rsidRDefault="00C85F93" w:rsidP="00C85F93">
            <w:pPr>
              <w:pStyle w:val="BodyTextIndent"/>
              <w:ind w:right="0" w:firstLine="0"/>
              <w:rPr>
                <w:rFonts w:ascii="Times New Roman" w:hAnsi="Times New Roman"/>
                <w:sz w:val="20"/>
                <w:lang w:val="bg-BG"/>
              </w:rPr>
            </w:pPr>
            <w:r w:rsidRPr="002F4C0E">
              <w:rPr>
                <w:rFonts w:ascii="Times New Roman" w:hAnsi="Times New Roman"/>
                <w:sz w:val="20"/>
                <w:lang w:val="bg-BG"/>
              </w:rPr>
              <w:t>б) 3.00%</w:t>
            </w:r>
            <w:r w:rsidR="002A69EC" w:rsidRPr="002F4C0E">
              <w:rPr>
                <w:rFonts w:ascii="Times New Roman" w:hAnsi="Times New Roman"/>
                <w:bCs/>
                <w:sz w:val="20"/>
                <w:lang w:val="bg-BG"/>
              </w:rPr>
              <w:t xml:space="preserve"> – </w:t>
            </w:r>
            <w:r w:rsidRPr="002F4C0E">
              <w:rPr>
                <w:rFonts w:ascii="Times New Roman" w:hAnsi="Times New Roman"/>
                <w:sz w:val="20"/>
                <w:lang w:val="bg-BG"/>
              </w:rPr>
              <w:t>по индивидуален договор за допълнително доброволно пенсионно осигуряване с еднократна вноска над 500 евро до 2500 евро включително;</w:t>
            </w:r>
          </w:p>
          <w:p w14:paraId="691D184F" w14:textId="0982DE22" w:rsidR="00C85F93" w:rsidRPr="002F4C0E" w:rsidRDefault="00C85F93" w:rsidP="00C85F93">
            <w:pPr>
              <w:pStyle w:val="BodyTextIndent"/>
              <w:ind w:right="0" w:firstLine="0"/>
              <w:rPr>
                <w:rFonts w:ascii="Times New Roman" w:hAnsi="Times New Roman"/>
                <w:sz w:val="20"/>
                <w:lang w:val="bg-BG"/>
              </w:rPr>
            </w:pPr>
            <w:r w:rsidRPr="002F4C0E">
              <w:rPr>
                <w:rFonts w:ascii="Times New Roman" w:hAnsi="Times New Roman"/>
                <w:sz w:val="20"/>
                <w:lang w:val="bg-BG"/>
              </w:rPr>
              <w:t>в) 2.50%</w:t>
            </w:r>
            <w:r w:rsidR="002A69EC" w:rsidRPr="002F4C0E">
              <w:rPr>
                <w:rFonts w:ascii="Times New Roman" w:hAnsi="Times New Roman"/>
                <w:bCs/>
                <w:sz w:val="20"/>
                <w:lang w:val="bg-BG"/>
              </w:rPr>
              <w:t xml:space="preserve"> – </w:t>
            </w:r>
            <w:r w:rsidRPr="002F4C0E">
              <w:rPr>
                <w:rFonts w:ascii="Times New Roman" w:hAnsi="Times New Roman"/>
                <w:sz w:val="20"/>
                <w:lang w:val="bg-BG"/>
              </w:rPr>
              <w:t>по индивидуален договор за допълнително доброволно пенсионно осигуряване с еднократна вноска над 2500 евро;</w:t>
            </w:r>
          </w:p>
          <w:p w14:paraId="1C3A7DAC" w14:textId="77777777" w:rsidR="00C85F93" w:rsidRPr="002F4C0E" w:rsidRDefault="00C85F93" w:rsidP="00C85F93">
            <w:pPr>
              <w:pStyle w:val="BodyTextIndent"/>
              <w:ind w:right="48" w:firstLine="0"/>
              <w:rPr>
                <w:rFonts w:ascii="Times New Roman" w:hAnsi="Times New Roman"/>
                <w:sz w:val="20"/>
                <w:lang w:val="bg-BG"/>
              </w:rPr>
            </w:pPr>
            <w:bookmarkStart w:id="2" w:name="_Hlk210387685"/>
            <w:r w:rsidRPr="002F4C0E">
              <w:rPr>
                <w:rFonts w:ascii="Times New Roman" w:hAnsi="Times New Roman"/>
                <w:sz w:val="20"/>
                <w:lang w:val="bg-BG"/>
              </w:rPr>
              <w:t>г.) По отношение на лицата, осигурени в универсалния и/или професионалния пенсионен фонд, управляван от Дружеството, размерът на таксите по чл.73.3, букви „а“-„в“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0AF3E357" w14:textId="77777777" w:rsidR="00C85F93" w:rsidRPr="002F4C0E" w:rsidRDefault="00C85F93" w:rsidP="00C85F93">
            <w:pPr>
              <w:pStyle w:val="BodyTextIndent"/>
              <w:ind w:right="48" w:firstLine="0"/>
              <w:rPr>
                <w:rFonts w:ascii="Times New Roman" w:hAnsi="Times New Roman"/>
                <w:sz w:val="20"/>
                <w:lang w:val="bg-BG"/>
              </w:rPr>
            </w:pPr>
            <w:r w:rsidRPr="002F4C0E">
              <w:rPr>
                <w:rFonts w:ascii="Times New Roman" w:hAnsi="Times New Roman"/>
                <w:sz w:val="20"/>
                <w:lang w:val="bg-BG"/>
              </w:rPr>
              <w:t>д) При индивидуален договор за допълнително доброволно пенсионно осигуряване (с лични вноски), както и в случаите на договор за допълнително доброволно пенсионно осигуряване за сметка на друг осигурител, при които вноската се извършва еднократно и размерът ѝ е 10 000 евро или повече, Дружеството събира 60% от размера на удръжките  по чл.73.3 от Правилника, при условие че договорът не е сключен чрез осигурителен посредник.</w:t>
            </w:r>
          </w:p>
          <w:p w14:paraId="64A57E1A" w14:textId="49652864" w:rsidR="00C85F93" w:rsidRPr="00C92711" w:rsidRDefault="00C85F93" w:rsidP="00C85F93">
            <w:pPr>
              <w:pStyle w:val="LO-Normal"/>
              <w:shd w:val="clear" w:color="auto" w:fill="FFFFFF"/>
              <w:jc w:val="both"/>
              <w:rPr>
                <w:rFonts w:ascii="Times New Roman" w:hAnsi="Times New Roman"/>
                <w:color w:val="000000"/>
                <w:spacing w:val="-1"/>
                <w:sz w:val="20"/>
                <w:szCs w:val="20"/>
              </w:rPr>
            </w:pPr>
            <w:r w:rsidRPr="002F4C0E">
              <w:rPr>
                <w:rFonts w:ascii="Times New Roman" w:hAnsi="Times New Roman"/>
                <w:sz w:val="20"/>
                <w:szCs w:val="20"/>
              </w:rPr>
              <w:lastRenderedPageBreak/>
              <w:t>е) При наличие на обстоятелства по чл. 73.3.1 и чл.73.3.2 от Правилника се прилага отстъпката по чл.73.3.2. от Правилника.</w:t>
            </w:r>
            <w:bookmarkEnd w:id="2"/>
          </w:p>
        </w:tc>
      </w:tr>
      <w:tr w:rsidR="00C85F93" w14:paraId="243D6100" w14:textId="77777777" w:rsidTr="00E800FE">
        <w:tc>
          <w:tcPr>
            <w:tcW w:w="4531" w:type="dxa"/>
          </w:tcPr>
          <w:p w14:paraId="273FF35D" w14:textId="3F806B6B" w:rsidR="00C85F93" w:rsidRDefault="00C85F93" w:rsidP="00C85F93">
            <w:pPr>
              <w:rPr>
                <w:rFonts w:ascii="Times New Roman" w:hAnsi="Times New Roman"/>
                <w:color w:val="000000"/>
                <w:sz w:val="20"/>
                <w:szCs w:val="20"/>
              </w:rPr>
            </w:pPr>
            <w:r w:rsidRPr="002F4C0E">
              <w:rPr>
                <w:rFonts w:ascii="Times New Roman" w:hAnsi="Times New Roman"/>
                <w:color w:val="000000"/>
                <w:spacing w:val="-1"/>
                <w:sz w:val="20"/>
                <w:szCs w:val="20"/>
              </w:rPr>
              <w:lastRenderedPageBreak/>
              <w:t>Инвестиционна такса от дохода, реализиран от инвестирането на средствата</w:t>
            </w:r>
          </w:p>
        </w:tc>
        <w:tc>
          <w:tcPr>
            <w:tcW w:w="4531" w:type="dxa"/>
          </w:tcPr>
          <w:p w14:paraId="3DC0B06F" w14:textId="3CA5C861" w:rsidR="00C85F93" w:rsidRPr="00C92711" w:rsidRDefault="00C85F93" w:rsidP="008C4061">
            <w:pPr>
              <w:spacing w:after="0"/>
              <w:jc w:val="both"/>
              <w:rPr>
                <w:rFonts w:ascii="Times New Roman" w:eastAsia="Times New Roman" w:hAnsi="Times New Roman"/>
                <w:color w:val="000000"/>
                <w:sz w:val="20"/>
                <w:szCs w:val="20"/>
                <w:lang w:eastAsia="bg-BG"/>
              </w:rPr>
            </w:pPr>
            <w:r w:rsidRPr="002F4C0E">
              <w:rPr>
                <w:rFonts w:ascii="Times New Roman" w:hAnsi="Times New Roman"/>
                <w:sz w:val="20"/>
                <w:szCs w:val="20"/>
              </w:rPr>
              <w:t xml:space="preserve">Инвестиционна такса в размер на </w:t>
            </w:r>
            <w:r w:rsidRPr="002F4C0E">
              <w:rPr>
                <w:rFonts w:ascii="Times New Roman" w:hAnsi="Times New Roman"/>
                <w:b/>
                <w:sz w:val="20"/>
                <w:szCs w:val="20"/>
              </w:rPr>
              <w:t>9.90</w:t>
            </w:r>
            <w:r w:rsidRPr="002F4C0E">
              <w:rPr>
                <w:rFonts w:ascii="Times New Roman" w:hAnsi="Times New Roman"/>
                <w:sz w:val="20"/>
                <w:szCs w:val="20"/>
              </w:rPr>
              <w:t xml:space="preserve"> % от дохода, реализиран при инвестиране на средствата на ФОНДА.</w:t>
            </w:r>
          </w:p>
        </w:tc>
      </w:tr>
      <w:tr w:rsidR="00C85F93" w14:paraId="1BA12916" w14:textId="77777777" w:rsidTr="00E800FE">
        <w:tc>
          <w:tcPr>
            <w:tcW w:w="4531" w:type="dxa"/>
          </w:tcPr>
          <w:p w14:paraId="61BF0C33" w14:textId="3F41D30B" w:rsidR="00C85F93" w:rsidRDefault="00C85F93" w:rsidP="00C85F93">
            <w:pPr>
              <w:rPr>
                <w:rFonts w:ascii="Times New Roman" w:hAnsi="Times New Roman"/>
                <w:color w:val="000000"/>
                <w:spacing w:val="-1"/>
                <w:sz w:val="20"/>
                <w:szCs w:val="20"/>
              </w:rPr>
            </w:pPr>
            <w:r w:rsidRPr="002F4C0E">
              <w:rPr>
                <w:rFonts w:ascii="Times New Roman" w:hAnsi="Times New Roman"/>
                <w:color w:val="000000"/>
                <w:spacing w:val="-1"/>
                <w:sz w:val="20"/>
                <w:szCs w:val="20"/>
              </w:rPr>
              <w:t xml:space="preserve">Такса при пълно или частично изтегляне на средствата от индивидуалната партида </w:t>
            </w:r>
            <w:r w:rsidRPr="002F4C0E">
              <w:rPr>
                <w:rFonts w:ascii="Times New Roman" w:hAnsi="Times New Roman"/>
                <w:color w:val="000000"/>
                <w:sz w:val="20"/>
                <w:szCs w:val="20"/>
              </w:rPr>
              <w:t>преди придобиване на право на пенсия за старост или инвалидност</w:t>
            </w:r>
          </w:p>
        </w:tc>
        <w:tc>
          <w:tcPr>
            <w:tcW w:w="4531" w:type="dxa"/>
          </w:tcPr>
          <w:p w14:paraId="44428E20" w14:textId="77777777" w:rsidR="00C85F93" w:rsidRPr="002F4C0E" w:rsidRDefault="00C85F93" w:rsidP="008C4061">
            <w:pPr>
              <w:shd w:val="clear" w:color="auto" w:fill="FFFFFF"/>
              <w:ind w:left="5"/>
              <w:jc w:val="both"/>
              <w:rPr>
                <w:rFonts w:ascii="Times New Roman" w:hAnsi="Times New Roman"/>
                <w:color w:val="000000"/>
                <w:sz w:val="20"/>
                <w:szCs w:val="20"/>
              </w:rPr>
            </w:pPr>
            <w:r w:rsidRPr="002F4C0E">
              <w:rPr>
                <w:rFonts w:ascii="Times New Roman" w:hAnsi="Times New Roman"/>
                <w:color w:val="000000"/>
                <w:sz w:val="20"/>
                <w:szCs w:val="20"/>
              </w:rPr>
              <w:t xml:space="preserve">Такса в размер на </w:t>
            </w:r>
            <w:r w:rsidRPr="002F4C0E">
              <w:rPr>
                <w:rFonts w:ascii="Times New Roman" w:hAnsi="Times New Roman"/>
                <w:bCs/>
                <w:color w:val="000000"/>
                <w:sz w:val="20"/>
                <w:szCs w:val="20"/>
              </w:rPr>
              <w:t>2 %</w:t>
            </w:r>
            <w:r w:rsidRPr="002F4C0E">
              <w:rPr>
                <w:rFonts w:ascii="Times New Roman" w:hAnsi="Times New Roman"/>
                <w:color w:val="000000"/>
                <w:sz w:val="20"/>
                <w:szCs w:val="20"/>
              </w:rPr>
              <w:t xml:space="preserve">, но не повече от </w:t>
            </w:r>
            <w:r w:rsidRPr="002F4C0E">
              <w:rPr>
                <w:rFonts w:ascii="Times New Roman" w:hAnsi="Times New Roman"/>
                <w:b/>
                <w:color w:val="000000"/>
                <w:sz w:val="20"/>
                <w:szCs w:val="20"/>
              </w:rPr>
              <w:t>10.00</w:t>
            </w:r>
            <w:r w:rsidRPr="002F4C0E">
              <w:rPr>
                <w:rFonts w:ascii="Times New Roman" w:hAnsi="Times New Roman"/>
                <w:color w:val="000000"/>
                <w:sz w:val="20"/>
                <w:szCs w:val="20"/>
              </w:rPr>
              <w:t xml:space="preserve"> евро при всяко изтегляне /изцяло или частично/ на натрупаните средства по индивидуалната осигурителна партида преди придобиване на право на лична пенсия за старост или за инвалидност. Такса не се заплаща:</w:t>
            </w:r>
          </w:p>
          <w:p w14:paraId="4853352B" w14:textId="77777777" w:rsidR="00C85F93" w:rsidRPr="002F4C0E" w:rsidRDefault="00C85F93" w:rsidP="002A69EC">
            <w:pPr>
              <w:numPr>
                <w:ilvl w:val="0"/>
                <w:numId w:val="5"/>
              </w:numPr>
              <w:shd w:val="clear" w:color="auto" w:fill="FFFFFF"/>
              <w:suppressAutoHyphens/>
              <w:autoSpaceDN w:val="0"/>
              <w:spacing w:line="256" w:lineRule="auto"/>
              <w:ind w:left="458" w:hanging="283"/>
              <w:rPr>
                <w:rFonts w:ascii="Times New Roman" w:hAnsi="Times New Roman"/>
                <w:color w:val="000000"/>
                <w:sz w:val="20"/>
                <w:szCs w:val="20"/>
              </w:rPr>
            </w:pPr>
            <w:r w:rsidRPr="002F4C0E">
              <w:rPr>
                <w:rFonts w:ascii="Times New Roman" w:hAnsi="Times New Roman"/>
                <w:color w:val="000000"/>
                <w:sz w:val="20"/>
                <w:szCs w:val="20"/>
              </w:rPr>
              <w:t>При прехвърляне или изтегляне на средства поради несъгласие с изменения на Правилника на ФОНДА.</w:t>
            </w:r>
          </w:p>
          <w:p w14:paraId="3B2BA0C4" w14:textId="77777777" w:rsidR="00C85F93" w:rsidRPr="002F4C0E" w:rsidRDefault="00C85F93" w:rsidP="002A69EC">
            <w:pPr>
              <w:numPr>
                <w:ilvl w:val="0"/>
                <w:numId w:val="5"/>
              </w:numPr>
              <w:shd w:val="clear" w:color="auto" w:fill="FFFFFF"/>
              <w:suppressAutoHyphens/>
              <w:autoSpaceDN w:val="0"/>
              <w:spacing w:line="256" w:lineRule="auto"/>
              <w:ind w:left="458" w:hanging="283"/>
              <w:rPr>
                <w:rFonts w:ascii="Times New Roman" w:hAnsi="Times New Roman"/>
                <w:color w:val="000000"/>
                <w:sz w:val="20"/>
                <w:szCs w:val="20"/>
              </w:rPr>
            </w:pPr>
            <w:r w:rsidRPr="002F4C0E">
              <w:rPr>
                <w:rFonts w:ascii="Times New Roman" w:hAnsi="Times New Roman"/>
                <w:color w:val="000000"/>
                <w:sz w:val="20"/>
                <w:szCs w:val="20"/>
              </w:rPr>
              <w:t>При преобразуване или прекратяване на Дружеството или на ФОНДА.</w:t>
            </w:r>
          </w:p>
          <w:p w14:paraId="13C3597F" w14:textId="77777777" w:rsidR="00C85F93" w:rsidRPr="002F4C0E" w:rsidRDefault="00C85F93" w:rsidP="002A69EC">
            <w:pPr>
              <w:pStyle w:val="ListParagraph"/>
              <w:numPr>
                <w:ilvl w:val="0"/>
                <w:numId w:val="5"/>
              </w:numPr>
              <w:shd w:val="clear" w:color="auto" w:fill="FFFFFF"/>
              <w:autoSpaceDN w:val="0"/>
              <w:spacing w:line="256" w:lineRule="auto"/>
              <w:ind w:left="458" w:hanging="283"/>
              <w:contextualSpacing/>
              <w:rPr>
                <w:rFonts w:ascii="Times New Roman" w:hAnsi="Times New Roman"/>
                <w:sz w:val="20"/>
                <w:szCs w:val="20"/>
              </w:rPr>
            </w:pPr>
            <w:r w:rsidRPr="002F4C0E">
              <w:rPr>
                <w:rFonts w:ascii="Times New Roman" w:hAnsi="Times New Roman"/>
                <w:color w:val="000000"/>
                <w:sz w:val="20"/>
                <w:szCs w:val="20"/>
              </w:rPr>
              <w:t>От наследниците на починало осигурено лице или пенсионер.</w:t>
            </w:r>
          </w:p>
          <w:p w14:paraId="3B147A35" w14:textId="484D0BE4" w:rsidR="00C85F93" w:rsidRPr="002A69EC" w:rsidRDefault="00C85F93" w:rsidP="002A69EC">
            <w:pPr>
              <w:pStyle w:val="ListParagraph"/>
              <w:numPr>
                <w:ilvl w:val="0"/>
                <w:numId w:val="5"/>
              </w:numPr>
              <w:spacing w:line="259" w:lineRule="auto"/>
              <w:ind w:left="458" w:hanging="283"/>
              <w:jc w:val="both"/>
              <w:rPr>
                <w:rFonts w:ascii="Times New Roman" w:hAnsi="Times New Roman"/>
                <w:color w:val="000000"/>
                <w:sz w:val="20"/>
                <w:szCs w:val="20"/>
                <w:lang w:val="en-US"/>
              </w:rPr>
            </w:pPr>
            <w:r w:rsidRPr="002A69EC">
              <w:rPr>
                <w:rFonts w:ascii="Times New Roman" w:hAnsi="Times New Roman"/>
                <w:color w:val="000000"/>
                <w:sz w:val="20"/>
                <w:szCs w:val="20"/>
              </w:rPr>
              <w:t>От лицата, придобили право на лична пенсия за старост или инвалидност</w:t>
            </w:r>
            <w:r w:rsidRPr="002A69EC">
              <w:rPr>
                <w:rFonts w:ascii="Times New Roman" w:eastAsiaTheme="minorHAnsi" w:hAnsi="Times New Roman"/>
                <w:sz w:val="20"/>
                <w:szCs w:val="20"/>
              </w:rPr>
              <w:t>.</w:t>
            </w:r>
          </w:p>
        </w:tc>
      </w:tr>
    </w:tbl>
    <w:p w14:paraId="5CB3E4B6" w14:textId="77777777" w:rsidR="00D27E43" w:rsidRPr="00D27E43" w:rsidRDefault="00D27E43" w:rsidP="006B6B71">
      <w:pPr>
        <w:pStyle w:val="LO-Normal"/>
        <w:widowControl w:val="0"/>
        <w:autoSpaceDE w:val="0"/>
        <w:spacing w:after="0" w:line="240" w:lineRule="auto"/>
        <w:jc w:val="both"/>
        <w:rPr>
          <w:rFonts w:ascii="Times New Roman" w:hAnsi="Times New Roman"/>
          <w:sz w:val="24"/>
          <w:szCs w:val="24"/>
          <w:lang w:val="en-US"/>
        </w:rPr>
      </w:pPr>
    </w:p>
    <w:p w14:paraId="216EC559" w14:textId="38DEC125" w:rsidR="00AA10DD" w:rsidRPr="00E56877" w:rsidRDefault="00366995">
      <w:pPr>
        <w:pStyle w:val="LO-Normal"/>
        <w:widowControl w:val="0"/>
        <w:autoSpaceDE w:val="0"/>
        <w:spacing w:after="0" w:line="240" w:lineRule="auto"/>
        <w:ind w:firstLine="480"/>
        <w:jc w:val="both"/>
        <w:rPr>
          <w:rFonts w:ascii="Times New Roman" w:hAnsi="Times New Roman"/>
          <w:b/>
          <w:bCs/>
          <w:sz w:val="24"/>
          <w:szCs w:val="24"/>
        </w:rPr>
      </w:pPr>
      <w:r w:rsidRPr="00E56877">
        <w:rPr>
          <w:rFonts w:ascii="Times New Roman" w:hAnsi="Times New Roman"/>
          <w:b/>
          <w:bCs/>
          <w:sz w:val="24"/>
          <w:szCs w:val="24"/>
        </w:rPr>
        <w:t>4. Гаранции</w:t>
      </w:r>
    </w:p>
    <w:p w14:paraId="3195AD9E" w14:textId="77777777" w:rsidR="00AA10DD" w:rsidRDefault="00366995">
      <w:pPr>
        <w:pStyle w:val="LO-Normal"/>
        <w:widowControl w:val="0"/>
        <w:autoSpaceDE w:val="0"/>
        <w:spacing w:after="0" w:line="240" w:lineRule="auto"/>
        <w:ind w:firstLine="480"/>
        <w:jc w:val="both"/>
      </w:pPr>
      <w:r>
        <w:rPr>
          <w:rFonts w:ascii="Times New Roman" w:hAnsi="Times New Roman"/>
          <w:sz w:val="24"/>
          <w:szCs w:val="24"/>
        </w:rPr>
        <w:t>Следва да имате предвид, че при осигуряването във фонд за доброволно пенсионно осигуряване на осигурените лица не се гарантира положителна доходност и запазване в пълен размер на внесените по индивидуалните партиди  средства.</w:t>
      </w:r>
    </w:p>
    <w:p w14:paraId="56324869" w14:textId="77777777" w:rsidR="00AA10DD" w:rsidRDefault="00AA10DD">
      <w:pPr>
        <w:pStyle w:val="LO-Normal"/>
        <w:widowControl w:val="0"/>
        <w:autoSpaceDE w:val="0"/>
        <w:spacing w:after="0" w:line="240" w:lineRule="auto"/>
        <w:ind w:firstLine="480"/>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9062"/>
      </w:tblGrid>
      <w:tr w:rsidR="00D27E43" w14:paraId="1FEB862D" w14:textId="77777777" w:rsidTr="00D27E43">
        <w:tc>
          <w:tcPr>
            <w:tcW w:w="9062" w:type="dxa"/>
          </w:tcPr>
          <w:p w14:paraId="690F342D" w14:textId="77777777" w:rsidR="00D27E43" w:rsidRDefault="00D27E43" w:rsidP="00D27E43">
            <w:pPr>
              <w:pStyle w:val="LO-Normal"/>
              <w:widowControl w:val="0"/>
              <w:autoSpaceDE w:val="0"/>
              <w:spacing w:after="0"/>
              <w:ind w:firstLine="480"/>
              <w:jc w:val="both"/>
              <w:rPr>
                <w:rFonts w:ascii="Times New Roman" w:hAnsi="Times New Roman"/>
                <w:sz w:val="24"/>
                <w:szCs w:val="24"/>
              </w:rPr>
            </w:pPr>
          </w:p>
          <w:p w14:paraId="07519C2F" w14:textId="77777777" w:rsidR="00D27E43" w:rsidRDefault="00D27E43" w:rsidP="00D27E43">
            <w:pPr>
              <w:pStyle w:val="LO-Normal"/>
              <w:widowControl w:val="0"/>
              <w:autoSpaceDE w:val="0"/>
              <w:spacing w:after="0"/>
              <w:ind w:firstLine="480"/>
              <w:jc w:val="both"/>
              <w:rPr>
                <w:rFonts w:ascii="Times New Roman" w:hAnsi="Times New Roman"/>
                <w:sz w:val="24"/>
                <w:szCs w:val="24"/>
              </w:rPr>
            </w:pPr>
            <w:r>
              <w:rPr>
                <w:rFonts w:ascii="Times New Roman" w:hAnsi="Times New Roman"/>
                <w:sz w:val="24"/>
                <w:szCs w:val="24"/>
              </w:rPr>
              <w:t xml:space="preserve">Вие можете да получите допълнителна информация за дейността на ПОД: </w:t>
            </w:r>
          </w:p>
          <w:p w14:paraId="60E177E3" w14:textId="77777777" w:rsidR="00D27E43" w:rsidRDefault="00D27E43" w:rsidP="00D27E43">
            <w:pPr>
              <w:pStyle w:val="LO-Normal"/>
              <w:widowControl w:val="0"/>
              <w:autoSpaceDE w:val="0"/>
              <w:spacing w:after="0"/>
              <w:ind w:firstLine="480"/>
              <w:jc w:val="both"/>
              <w:rPr>
                <w:rFonts w:ascii="Times New Roman" w:hAnsi="Times New Roman"/>
                <w:sz w:val="24"/>
                <w:szCs w:val="24"/>
              </w:rPr>
            </w:pPr>
            <w:r>
              <w:rPr>
                <w:rFonts w:ascii="Times New Roman" w:hAnsi="Times New Roman"/>
                <w:sz w:val="24"/>
                <w:szCs w:val="24"/>
              </w:rPr>
              <w:t>– на тел. 0700 14 250;</w:t>
            </w:r>
          </w:p>
          <w:p w14:paraId="44C11DE0" w14:textId="77777777" w:rsidR="00D27E43" w:rsidRDefault="00D27E43" w:rsidP="00D27E43">
            <w:pPr>
              <w:pStyle w:val="LO-Normal"/>
              <w:widowControl w:val="0"/>
              <w:autoSpaceDE w:val="0"/>
              <w:spacing w:after="0"/>
              <w:ind w:firstLine="480"/>
              <w:jc w:val="both"/>
              <w:rPr>
                <w:rFonts w:ascii="Times New Roman" w:hAnsi="Times New Roman"/>
                <w:sz w:val="24"/>
                <w:szCs w:val="24"/>
              </w:rPr>
            </w:pPr>
            <w:r>
              <w:rPr>
                <w:rFonts w:ascii="Times New Roman" w:hAnsi="Times New Roman"/>
                <w:sz w:val="24"/>
                <w:szCs w:val="24"/>
              </w:rPr>
              <w:t xml:space="preserve"> – www. Budeshte.bg;</w:t>
            </w:r>
          </w:p>
          <w:p w14:paraId="3FA3EF1F" w14:textId="77777777" w:rsidR="00D27E43" w:rsidRDefault="00D27E43" w:rsidP="00D27E43">
            <w:pPr>
              <w:pStyle w:val="LO-Normal"/>
              <w:widowControl w:val="0"/>
              <w:autoSpaceDE w:val="0"/>
              <w:spacing w:after="0"/>
              <w:ind w:firstLine="480"/>
              <w:jc w:val="both"/>
              <w:rPr>
                <w:rFonts w:ascii="Times New Roman" w:hAnsi="Times New Roman"/>
                <w:sz w:val="24"/>
                <w:szCs w:val="24"/>
              </w:rPr>
            </w:pPr>
            <w:r>
              <w:rPr>
                <w:rFonts w:ascii="Times New Roman" w:hAnsi="Times New Roman"/>
                <w:sz w:val="24"/>
                <w:szCs w:val="24"/>
              </w:rPr>
              <w:t xml:space="preserve"> – от неговите осигурителни посредници и служители;</w:t>
            </w:r>
          </w:p>
          <w:p w14:paraId="0F193C73" w14:textId="77777777" w:rsidR="00D27E43" w:rsidRDefault="00D27E43" w:rsidP="00D27E43">
            <w:pPr>
              <w:pStyle w:val="LO-Normal"/>
              <w:widowControl w:val="0"/>
              <w:autoSpaceDE w:val="0"/>
              <w:spacing w:after="0"/>
              <w:ind w:firstLine="480"/>
              <w:jc w:val="both"/>
              <w:rPr>
                <w:rFonts w:ascii="Times New Roman" w:hAnsi="Times New Roman"/>
                <w:sz w:val="24"/>
                <w:szCs w:val="24"/>
              </w:rPr>
            </w:pPr>
            <w:r>
              <w:rPr>
                <w:rFonts w:ascii="Times New Roman" w:hAnsi="Times New Roman"/>
                <w:sz w:val="24"/>
                <w:szCs w:val="24"/>
              </w:rPr>
              <w:t xml:space="preserve"> – от Комисията за финансов надзор (www.fsc.bg). </w:t>
            </w:r>
          </w:p>
          <w:p w14:paraId="77520089" w14:textId="210C603B" w:rsidR="00D27E43" w:rsidRDefault="00D27E43" w:rsidP="00D27E43">
            <w:pPr>
              <w:pStyle w:val="LO-Normal"/>
              <w:widowControl w:val="0"/>
              <w:autoSpaceDE w:val="0"/>
              <w:spacing w:after="0"/>
              <w:jc w:val="both"/>
            </w:pPr>
            <w:r>
              <w:rPr>
                <w:rFonts w:ascii="Times New Roman" w:hAnsi="Times New Roman"/>
                <w:sz w:val="24"/>
                <w:szCs w:val="24"/>
                <w:lang w:val="en-US"/>
              </w:rPr>
              <w:t xml:space="preserve">        </w:t>
            </w:r>
            <w:r>
              <w:rPr>
                <w:rFonts w:ascii="Times New Roman" w:hAnsi="Times New Roman"/>
                <w:sz w:val="24"/>
                <w:szCs w:val="24"/>
              </w:rPr>
              <w:t xml:space="preserve">Вие можете да се запознаете с документите с основна информация за осигурените </w:t>
            </w:r>
            <w:r>
              <w:rPr>
                <w:rFonts w:ascii="Times New Roman" w:hAnsi="Times New Roman"/>
                <w:sz w:val="24"/>
                <w:szCs w:val="24"/>
                <w:lang w:val="en-US"/>
              </w:rPr>
              <w:t xml:space="preserve">  </w:t>
            </w:r>
            <w:r>
              <w:rPr>
                <w:rFonts w:ascii="Times New Roman" w:hAnsi="Times New Roman"/>
                <w:sz w:val="24"/>
                <w:szCs w:val="24"/>
              </w:rPr>
              <w:t>лица на останалите пенсионноосигурителни дружества на техните интернет страници.</w:t>
            </w:r>
          </w:p>
        </w:tc>
      </w:tr>
    </w:tbl>
    <w:p w14:paraId="3CDD2CF5" w14:textId="77777777" w:rsidR="00AA10DD" w:rsidRDefault="00AA10DD">
      <w:pPr>
        <w:pStyle w:val="LO-Normal"/>
        <w:widowControl w:val="0"/>
        <w:autoSpaceDE w:val="0"/>
        <w:spacing w:after="0" w:line="240" w:lineRule="auto"/>
        <w:ind w:firstLine="480"/>
        <w:jc w:val="both"/>
        <w:rPr>
          <w:lang w:val="en-US"/>
        </w:rPr>
      </w:pPr>
    </w:p>
    <w:p w14:paraId="654D4A1D" w14:textId="77777777" w:rsidR="00D27E43" w:rsidRDefault="00D27E43">
      <w:pPr>
        <w:pStyle w:val="LO-Normal"/>
        <w:widowControl w:val="0"/>
        <w:autoSpaceDE w:val="0"/>
        <w:spacing w:after="0" w:line="240" w:lineRule="auto"/>
        <w:ind w:firstLine="480"/>
        <w:jc w:val="both"/>
        <w:rPr>
          <w:lang w:val="en-US"/>
        </w:rPr>
      </w:pPr>
    </w:p>
    <w:tbl>
      <w:tblPr>
        <w:tblStyle w:val="TableGrid"/>
        <w:tblW w:w="0" w:type="auto"/>
        <w:tblLook w:val="04A0" w:firstRow="1" w:lastRow="0" w:firstColumn="1" w:lastColumn="0" w:noHBand="0" w:noVBand="1"/>
      </w:tblPr>
      <w:tblGrid>
        <w:gridCol w:w="4531"/>
        <w:gridCol w:w="4531"/>
      </w:tblGrid>
      <w:tr w:rsidR="00D27E43" w14:paraId="26BA5CB4" w14:textId="77777777" w:rsidTr="00D27E43">
        <w:tc>
          <w:tcPr>
            <w:tcW w:w="4531" w:type="dxa"/>
          </w:tcPr>
          <w:p w14:paraId="23E97CA6" w14:textId="65F351B8" w:rsidR="00D27E43" w:rsidRDefault="00D27E43">
            <w:pPr>
              <w:pStyle w:val="LO-Normal"/>
              <w:widowControl w:val="0"/>
              <w:autoSpaceDE w:val="0"/>
              <w:spacing w:after="0"/>
              <w:jc w:val="both"/>
              <w:rPr>
                <w:lang w:val="en-US"/>
              </w:rPr>
            </w:pPr>
            <w:r>
              <w:rPr>
                <w:rFonts w:ascii="Times New Roman" w:hAnsi="Times New Roman"/>
                <w:b/>
                <w:bCs/>
                <w:i/>
                <w:iCs/>
                <w:sz w:val="20"/>
                <w:szCs w:val="20"/>
              </w:rPr>
              <w:t>Моля, прочетете внимателно правилника на фонда и Вашия осигурителен договор, техните разпоредби имат предимство пред този документ!</w:t>
            </w:r>
          </w:p>
        </w:tc>
        <w:tc>
          <w:tcPr>
            <w:tcW w:w="4531" w:type="dxa"/>
          </w:tcPr>
          <w:p w14:paraId="4F5FBBF4" w14:textId="2E125A78" w:rsidR="00D27E43" w:rsidRDefault="00D27E43">
            <w:pPr>
              <w:pStyle w:val="LO-Normal"/>
              <w:widowControl w:val="0"/>
              <w:autoSpaceDE w:val="0"/>
              <w:spacing w:after="0"/>
              <w:jc w:val="both"/>
              <w:rPr>
                <w:lang w:val="en-US"/>
              </w:rPr>
            </w:pPr>
            <w:r>
              <w:rPr>
                <w:rFonts w:ascii="Times New Roman" w:hAnsi="Times New Roman"/>
                <w:sz w:val="20"/>
                <w:szCs w:val="20"/>
              </w:rPr>
              <w:t xml:space="preserve">Този документ е изготвен на </w:t>
            </w:r>
            <w:r w:rsidR="008C4061" w:rsidRPr="008C4061">
              <w:rPr>
                <w:rFonts w:ascii="Times New Roman" w:hAnsi="Times New Roman"/>
                <w:sz w:val="20"/>
                <w:szCs w:val="20"/>
              </w:rPr>
              <w:t>17.</w:t>
            </w:r>
            <w:r w:rsidR="0026480C" w:rsidRPr="008C4061">
              <w:rPr>
                <w:rFonts w:ascii="Times New Roman" w:hAnsi="Times New Roman"/>
                <w:sz w:val="20"/>
                <w:szCs w:val="20"/>
                <w:lang w:val="en-US"/>
              </w:rPr>
              <w:t>03</w:t>
            </w:r>
            <w:r w:rsidR="005F2855" w:rsidRPr="008C4061">
              <w:rPr>
                <w:rFonts w:ascii="Times New Roman" w:hAnsi="Times New Roman"/>
                <w:sz w:val="20"/>
                <w:szCs w:val="20"/>
              </w:rPr>
              <w:t>.2026 г.</w:t>
            </w:r>
          </w:p>
        </w:tc>
      </w:tr>
    </w:tbl>
    <w:p w14:paraId="4E36EB9D" w14:textId="77777777" w:rsidR="00D27E43" w:rsidRPr="00D27E43" w:rsidRDefault="00D27E43">
      <w:pPr>
        <w:pStyle w:val="LO-Normal"/>
        <w:widowControl w:val="0"/>
        <w:autoSpaceDE w:val="0"/>
        <w:spacing w:after="0" w:line="240" w:lineRule="auto"/>
        <w:ind w:firstLine="480"/>
        <w:jc w:val="both"/>
        <w:rPr>
          <w:lang w:val="en-US"/>
        </w:rPr>
      </w:pPr>
    </w:p>
    <w:sectPr w:rsidR="00D27E43" w:rsidRPr="00D27E43" w:rsidSect="00D27E43">
      <w:pgSz w:w="11906" w:h="16838"/>
      <w:pgMar w:top="1417" w:right="1417" w:bottom="1702" w:left="1417" w:header="0"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872D" w14:textId="77777777" w:rsidR="00D20705" w:rsidRDefault="00D20705" w:rsidP="00990682">
      <w:pPr>
        <w:spacing w:after="0" w:line="240" w:lineRule="auto"/>
      </w:pPr>
      <w:r>
        <w:separator/>
      </w:r>
    </w:p>
  </w:endnote>
  <w:endnote w:type="continuationSeparator" w:id="0">
    <w:p w14:paraId="6EC9F6B0" w14:textId="77777777" w:rsidR="00D20705" w:rsidRDefault="00D20705" w:rsidP="0099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P_Optimal">
    <w:altName w:val="Trebuchet MS"/>
    <w:charset w:val="CC"/>
    <w:family w:val="swiss"/>
    <w:pitch w:val="variable"/>
    <w:sig w:usb0="80000201" w:usb1="00000048"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EBDF" w14:textId="77777777" w:rsidR="00D20705" w:rsidRDefault="00D20705" w:rsidP="00990682">
      <w:pPr>
        <w:spacing w:after="0" w:line="240" w:lineRule="auto"/>
      </w:pPr>
      <w:r>
        <w:separator/>
      </w:r>
    </w:p>
  </w:footnote>
  <w:footnote w:type="continuationSeparator" w:id="0">
    <w:p w14:paraId="6D69F00B" w14:textId="77777777" w:rsidR="00D20705" w:rsidRDefault="00D20705" w:rsidP="0099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F77"/>
    <w:multiLevelType w:val="multilevel"/>
    <w:tmpl w:val="0AB060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8E4237"/>
    <w:multiLevelType w:val="multilevel"/>
    <w:tmpl w:val="D8B66B3A"/>
    <w:lvl w:ilvl="0">
      <w:start w:val="2"/>
      <w:numFmt w:val="decimal"/>
      <w:lvlText w:val="%1."/>
      <w:lvlJc w:val="left"/>
      <w:pPr>
        <w:ind w:left="0" w:firstLine="202"/>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07C6BF2"/>
    <w:multiLevelType w:val="hybridMultilevel"/>
    <w:tmpl w:val="56EE6E5C"/>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15:restartNumberingAfterBreak="0">
    <w:nsid w:val="5EAF2F62"/>
    <w:multiLevelType w:val="hybridMultilevel"/>
    <w:tmpl w:val="8580E096"/>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4" w15:restartNumberingAfterBreak="0">
    <w:nsid w:val="7D481516"/>
    <w:multiLevelType w:val="multilevel"/>
    <w:tmpl w:val="55143CD4"/>
    <w:lvl w:ilvl="0">
      <w:start w:val="7"/>
      <w:numFmt w:val="decimal"/>
      <w:lvlText w:val="%1."/>
      <w:lvlJc w:val="left"/>
      <w:pPr>
        <w:ind w:left="0" w:firstLine="259"/>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5402936">
    <w:abstractNumId w:val="1"/>
  </w:num>
  <w:num w:numId="2" w16cid:durableId="1070663124">
    <w:abstractNumId w:val="4"/>
  </w:num>
  <w:num w:numId="3" w16cid:durableId="437726211">
    <w:abstractNumId w:val="0"/>
  </w:num>
  <w:num w:numId="4" w16cid:durableId="908925661">
    <w:abstractNumId w:val="3"/>
  </w:num>
  <w:num w:numId="5" w16cid:durableId="203950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DD"/>
    <w:rsid w:val="000D6F0C"/>
    <w:rsid w:val="00186C10"/>
    <w:rsid w:val="001970C6"/>
    <w:rsid w:val="00223A92"/>
    <w:rsid w:val="0026480C"/>
    <w:rsid w:val="002A69EC"/>
    <w:rsid w:val="002E311F"/>
    <w:rsid w:val="00366995"/>
    <w:rsid w:val="003D5922"/>
    <w:rsid w:val="003F1D60"/>
    <w:rsid w:val="00420B6F"/>
    <w:rsid w:val="00461AEE"/>
    <w:rsid w:val="0048702D"/>
    <w:rsid w:val="004A56B6"/>
    <w:rsid w:val="00524664"/>
    <w:rsid w:val="00575814"/>
    <w:rsid w:val="005A5661"/>
    <w:rsid w:val="005C5B97"/>
    <w:rsid w:val="005F2855"/>
    <w:rsid w:val="00667E72"/>
    <w:rsid w:val="006B6B71"/>
    <w:rsid w:val="00736BD5"/>
    <w:rsid w:val="00793B9E"/>
    <w:rsid w:val="0079701C"/>
    <w:rsid w:val="00800580"/>
    <w:rsid w:val="0082089A"/>
    <w:rsid w:val="0082389C"/>
    <w:rsid w:val="00840691"/>
    <w:rsid w:val="00851D58"/>
    <w:rsid w:val="008C3533"/>
    <w:rsid w:val="008C4061"/>
    <w:rsid w:val="00904B8D"/>
    <w:rsid w:val="00990682"/>
    <w:rsid w:val="009D5CE7"/>
    <w:rsid w:val="00A14D7C"/>
    <w:rsid w:val="00AA10DD"/>
    <w:rsid w:val="00AA1C9E"/>
    <w:rsid w:val="00AF743F"/>
    <w:rsid w:val="00B23847"/>
    <w:rsid w:val="00B77C7F"/>
    <w:rsid w:val="00C85F93"/>
    <w:rsid w:val="00CB1DDB"/>
    <w:rsid w:val="00D01CCB"/>
    <w:rsid w:val="00D20705"/>
    <w:rsid w:val="00D27E43"/>
    <w:rsid w:val="00D35CAA"/>
    <w:rsid w:val="00DB62DD"/>
    <w:rsid w:val="00DE3306"/>
    <w:rsid w:val="00E41699"/>
    <w:rsid w:val="00E56877"/>
    <w:rsid w:val="00EF0E74"/>
    <w:rsid w:val="00F34A2A"/>
    <w:rsid w:val="00F63906"/>
    <w:rsid w:val="00FB3150"/>
    <w:rsid w:val="00FD3679"/>
    <w:rsid w:val="00FF19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0B57"/>
  <w15:docId w15:val="{01F5975D-7933-4C1D-A1A7-3886D5DA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en-US" w:bidi="ar-SA"/>
      </w:rPr>
    </w:rPrDefault>
    <w:pPrDefault>
      <w:pPr>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563C1"/>
      <w:u w:val="single"/>
    </w:rPr>
  </w:style>
  <w:style w:type="character" w:styleId="UnresolvedMention">
    <w:name w:val="Unresolved Mention"/>
    <w:basedOn w:val="DefaultParagraphFont"/>
    <w:qFormat/>
    <w:rPr>
      <w:color w:val="605E5C"/>
      <w:highlight w:val="lightGray"/>
    </w:rPr>
  </w:style>
  <w:style w:type="character" w:customStyle="1" w:styleId="BodyTextIndentChar">
    <w:name w:val="Body Text Indent Char"/>
    <w:basedOn w:val="DefaultParagraphFont"/>
    <w:qFormat/>
    <w:rPr>
      <w:rFonts w:ascii="SP_Optimal" w:eastAsia="Times New Roman" w:hAnsi="SP_Optimal" w:cs="Times New Roman"/>
      <w:sz w:val="24"/>
      <w:szCs w:val="20"/>
      <w:lang w:val="en-US"/>
    </w:rPr>
  </w:style>
  <w:style w:type="character" w:customStyle="1" w:styleId="WWCharLFO1LVL1">
    <w:name w:val="WW_CharLFO1LVL1"/>
    <w:qFormat/>
    <w:rPr>
      <w:rFonts w:ascii="Times New Roman" w:hAnsi="Times New Roman" w:cs="Times New Roman"/>
    </w:rPr>
  </w:style>
  <w:style w:type="character" w:customStyle="1" w:styleId="WWCharLFO2LVL1">
    <w:name w:val="WW_CharLFO2LVL1"/>
    <w:qFormat/>
    <w:rPr>
      <w:rFonts w:ascii="Times New Roman" w:hAnsi="Times New Roman" w:cs="Times New Roman"/>
    </w:rPr>
  </w:style>
  <w:style w:type="character" w:customStyle="1" w:styleId="InternetLink">
    <w:name w:val="Internet Link"/>
    <w:rPr>
      <w:color w:val="000080"/>
      <w:u w:val="single"/>
    </w:rPr>
  </w:style>
  <w:style w:type="paragraph" w:customStyle="1" w:styleId="LO-Normal">
    <w:name w:val="LO-Normal"/>
    <w:qFormat/>
    <w:pPr>
      <w:suppressAutoHyphens/>
      <w:spacing w:after="160"/>
    </w:pPr>
    <w:rPr>
      <w:rFonts w:eastAsia="Times New Roman"/>
      <w:lang w:eastAsia="bg-BG"/>
    </w:rPr>
  </w:style>
  <w:style w:type="paragraph" w:styleId="ListParagraph">
    <w:name w:val="List Paragraph"/>
    <w:basedOn w:val="LO-Normal"/>
    <w:uiPriority w:val="34"/>
    <w:qFormat/>
    <w:pPr>
      <w:ind w:left="720"/>
    </w:pPr>
  </w:style>
  <w:style w:type="paragraph" w:styleId="BodyTextIndent">
    <w:name w:val="Body Text Indent"/>
    <w:basedOn w:val="LO-Normal"/>
    <w:qFormat/>
    <w:pPr>
      <w:spacing w:after="0" w:line="240" w:lineRule="auto"/>
      <w:ind w:right="900" w:firstLine="567"/>
      <w:jc w:val="both"/>
    </w:pPr>
    <w:rPr>
      <w:rFonts w:ascii="SP_Optimal" w:hAnsi="SP_Optimal"/>
      <w:sz w:val="24"/>
      <w:szCs w:val="20"/>
      <w:lang w:val="en-US" w:eastAsia="en-US"/>
    </w:rPr>
  </w:style>
  <w:style w:type="paragraph" w:customStyle="1" w:styleId="TableContents">
    <w:name w:val="Table Contents"/>
    <w:basedOn w:val="Normal"/>
    <w:qFormat/>
    <w:pPr>
      <w:suppressLineNumbers/>
    </w:pPr>
  </w:style>
  <w:style w:type="paragraph" w:styleId="Header">
    <w:name w:val="header"/>
    <w:basedOn w:val="Normal"/>
    <w:link w:val="HeaderChar"/>
    <w:uiPriority w:val="99"/>
    <w:unhideWhenUsed/>
    <w:rsid w:val="009906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0682"/>
  </w:style>
  <w:style w:type="paragraph" w:styleId="Footer">
    <w:name w:val="footer"/>
    <w:basedOn w:val="Normal"/>
    <w:link w:val="FooterChar"/>
    <w:uiPriority w:val="99"/>
    <w:unhideWhenUsed/>
    <w:rsid w:val="009906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0682"/>
  </w:style>
  <w:style w:type="table" w:styleId="TableGrid">
    <w:name w:val="Table Grid"/>
    <w:basedOn w:val="TableNormal"/>
    <w:uiPriority w:val="39"/>
    <w:rsid w:val="00D27E43"/>
    <w:pPr>
      <w:spacing w:line="240" w:lineRule="auto"/>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85F93"/>
    <w:pPr>
      <w:suppressAutoHyphens/>
      <w:spacing w:after="0" w:line="240" w:lineRule="auto"/>
      <w:textAlignment w:val="auto"/>
    </w:pPr>
    <w:rPr>
      <w:rFonts w:ascii="Times New Roman" w:eastAsia="Times New Roman" w:hAnsi="Times New Roman"/>
      <w:sz w:val="20"/>
      <w:szCs w:val="20"/>
      <w:lang w:val="en-US" w:eastAsia="bg-BG"/>
    </w:rPr>
  </w:style>
  <w:style w:type="character" w:customStyle="1" w:styleId="CommentTextChar">
    <w:name w:val="Comment Text Char"/>
    <w:basedOn w:val="DefaultParagraphFont"/>
    <w:link w:val="CommentText"/>
    <w:uiPriority w:val="99"/>
    <w:semiHidden/>
    <w:rsid w:val="00C85F93"/>
    <w:rPr>
      <w:rFonts w:ascii="Times New Roman" w:eastAsia="Times New Roman" w:hAnsi="Times New Roman"/>
      <w:sz w:val="20"/>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c.bg/" TargetMode="External"/><Relationship Id="rId5" Type="http://schemas.openxmlformats.org/officeDocument/2006/relationships/footnotes" Target="footnotes.xml"/><Relationship Id="rId10" Type="http://schemas.openxmlformats.org/officeDocument/2006/relationships/hyperlink" Target="http://www.pod-budeshte.b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dc:description/>
  <cp:lastModifiedBy>Вероника Стоянова</cp:lastModifiedBy>
  <cp:revision>28</cp:revision>
  <cp:lastPrinted>2024-03-21T13:36:00Z</cp:lastPrinted>
  <dcterms:created xsi:type="dcterms:W3CDTF">2019-08-13T14:15:00Z</dcterms:created>
  <dcterms:modified xsi:type="dcterms:W3CDTF">2026-03-17T08:25:00Z</dcterms:modified>
  <dc:language>bg-BG</dc:language>
</cp:coreProperties>
</file>